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4C2" w:rsidRPr="00D034C2" w:rsidRDefault="00D034C2" w:rsidP="00D034C2">
      <w:pPr>
        <w:spacing w:after="0" w:line="360" w:lineRule="auto"/>
        <w:ind w:left="284"/>
        <w:jc w:val="both"/>
        <w:rPr>
          <w:rFonts w:ascii="Palatino Linotype" w:hAnsi="Palatino Linotype" w:cs="Arial"/>
          <w:sz w:val="24"/>
          <w:szCs w:val="24"/>
        </w:rPr>
      </w:pPr>
      <w:bookmarkStart w:id="0" w:name="_GoBack"/>
      <w:bookmarkEnd w:id="0"/>
      <w:r w:rsidRPr="00D034C2">
        <w:rPr>
          <w:rFonts w:ascii="Palatino Linotype" w:hAnsi="Palatino Linotype" w:cs="Arial"/>
          <w:b/>
          <w:sz w:val="24"/>
          <w:szCs w:val="24"/>
        </w:rPr>
        <w:t xml:space="preserve">VOTO PARTICULAR DEL COMISIONADO JOSÉ GUADALUPE LUNA HERNÁNDEZ EN EL RECURSO DE REVISIÓN </w:t>
      </w:r>
      <w:r w:rsidR="005823DB">
        <w:rPr>
          <w:rFonts w:ascii="Palatino Linotype" w:hAnsi="Palatino Linotype" w:cs="Arial"/>
          <w:b/>
          <w:sz w:val="24"/>
          <w:szCs w:val="24"/>
        </w:rPr>
        <w:t>02107</w:t>
      </w:r>
      <w:r w:rsidRPr="00D034C2">
        <w:rPr>
          <w:rFonts w:ascii="Palatino Linotype" w:hAnsi="Palatino Linotype" w:cs="Arial"/>
          <w:b/>
          <w:sz w:val="24"/>
          <w:szCs w:val="24"/>
        </w:rPr>
        <w:t>/INFOEM/IP/RR/</w:t>
      </w:r>
      <w:r w:rsidR="005823DB">
        <w:rPr>
          <w:rFonts w:ascii="Palatino Linotype" w:hAnsi="Palatino Linotype" w:cs="Arial"/>
          <w:b/>
          <w:sz w:val="24"/>
          <w:szCs w:val="24"/>
        </w:rPr>
        <w:t>2018</w:t>
      </w:r>
      <w:r w:rsidRPr="00D034C2">
        <w:rPr>
          <w:rFonts w:ascii="Palatino Linotype" w:hAnsi="Palatino Linotype" w:cs="Arial"/>
          <w:b/>
          <w:sz w:val="24"/>
          <w:szCs w:val="24"/>
        </w:rPr>
        <w:t>.</w:t>
      </w:r>
    </w:p>
    <w:p w:rsidR="00C47046" w:rsidRDefault="00C47046" w:rsidP="00D034C2">
      <w:pPr>
        <w:spacing w:after="0" w:line="360" w:lineRule="auto"/>
        <w:ind w:left="284"/>
        <w:jc w:val="both"/>
        <w:rPr>
          <w:rFonts w:ascii="Palatino Linotype" w:hAnsi="Palatino Linotype" w:cs="Arial"/>
          <w:sz w:val="24"/>
          <w:szCs w:val="24"/>
        </w:rPr>
      </w:pPr>
    </w:p>
    <w:p w:rsidR="00D034C2" w:rsidRDefault="005823DB" w:rsidP="005823DB">
      <w:pPr>
        <w:spacing w:after="0" w:line="360" w:lineRule="auto"/>
        <w:ind w:left="284"/>
        <w:jc w:val="center"/>
        <w:rPr>
          <w:rFonts w:ascii="Palatino Linotype" w:hAnsi="Palatino Linotype" w:cs="Arial"/>
          <w:b/>
          <w:sz w:val="24"/>
          <w:szCs w:val="24"/>
        </w:rPr>
      </w:pPr>
      <w:r w:rsidRPr="005823DB">
        <w:rPr>
          <w:rFonts w:ascii="Palatino Linotype" w:hAnsi="Palatino Linotype" w:cs="Arial"/>
          <w:b/>
          <w:sz w:val="24"/>
          <w:szCs w:val="24"/>
        </w:rPr>
        <w:t>LÍNEAS ARGUMENTATIVAS:</w:t>
      </w:r>
    </w:p>
    <w:p w:rsidR="00D034C2" w:rsidRPr="00D034C2" w:rsidRDefault="00D034C2" w:rsidP="00D034C2">
      <w:pPr>
        <w:spacing w:line="360" w:lineRule="auto"/>
        <w:ind w:left="284"/>
        <w:jc w:val="both"/>
        <w:rPr>
          <w:rFonts w:ascii="Palatino Linotype" w:hAnsi="Palatino Linotype"/>
          <w:sz w:val="24"/>
          <w:szCs w:val="24"/>
        </w:rPr>
      </w:pPr>
      <w:r w:rsidRPr="00D034C2">
        <w:rPr>
          <w:rFonts w:ascii="Palatino Linotype" w:hAnsi="Palatino Linotype"/>
          <w:sz w:val="24"/>
          <w:szCs w:val="24"/>
        </w:rPr>
        <w:t xml:space="preserve">La fotografía en el título profesional, es un requisito que constituye un elemento indispensable de identidad de la persona a quien se le expide. </w:t>
      </w:r>
    </w:p>
    <w:p w:rsidR="00D034C2" w:rsidRPr="00D034C2" w:rsidRDefault="00D034C2" w:rsidP="00D034C2">
      <w:pPr>
        <w:spacing w:line="360" w:lineRule="auto"/>
        <w:ind w:left="284"/>
        <w:jc w:val="both"/>
        <w:rPr>
          <w:rFonts w:ascii="Palatino Linotype" w:hAnsi="Palatino Linotype"/>
          <w:sz w:val="24"/>
          <w:szCs w:val="24"/>
        </w:rPr>
      </w:pPr>
      <w:r w:rsidRPr="00D034C2">
        <w:rPr>
          <w:rFonts w:ascii="Palatino Linotype" w:hAnsi="Palatino Linotype"/>
          <w:sz w:val="24"/>
          <w:szCs w:val="24"/>
        </w:rPr>
        <w:t xml:space="preserve">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este. </w:t>
      </w:r>
    </w:p>
    <w:p w:rsidR="00D034C2" w:rsidRPr="00D034C2" w:rsidRDefault="00D034C2" w:rsidP="00D034C2">
      <w:pPr>
        <w:spacing w:line="360" w:lineRule="auto"/>
        <w:ind w:left="284"/>
        <w:jc w:val="both"/>
        <w:rPr>
          <w:rFonts w:ascii="Palatino Linotype" w:hAnsi="Palatino Linotype"/>
          <w:sz w:val="24"/>
          <w:szCs w:val="24"/>
        </w:rPr>
      </w:pPr>
      <w:r w:rsidRPr="00D034C2">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D034C2" w:rsidRDefault="00D034C2" w:rsidP="00D034C2">
      <w:pPr>
        <w:spacing w:line="360" w:lineRule="auto"/>
        <w:ind w:left="284"/>
        <w:jc w:val="both"/>
        <w:rPr>
          <w:rFonts w:ascii="Palatino Linotype" w:hAnsi="Palatino Linotype"/>
          <w:sz w:val="24"/>
          <w:szCs w:val="24"/>
        </w:rPr>
      </w:pPr>
      <w:r w:rsidRPr="00D034C2">
        <w:rPr>
          <w:rFonts w:ascii="Palatino Linotype" w:hAnsi="Palatino Linotype"/>
          <w:sz w:val="24"/>
          <w:szCs w:val="24"/>
        </w:rPr>
        <w:t>Para una co</w:t>
      </w:r>
      <w:r w:rsidR="005823DB">
        <w:rPr>
          <w:rFonts w:ascii="Palatino Linotype" w:hAnsi="Palatino Linotype"/>
          <w:sz w:val="24"/>
          <w:szCs w:val="24"/>
        </w:rPr>
        <w:t xml:space="preserve">rrecta ponderación de derechos </w:t>
      </w:r>
      <w:r w:rsidRPr="00D034C2">
        <w:rPr>
          <w:rFonts w:ascii="Palatino Linotype" w:hAnsi="Palatino Linotype"/>
          <w:sz w:val="24"/>
          <w:szCs w:val="24"/>
        </w:rPr>
        <w:t xml:space="preserve">de ambos derechos, es necesario realizar el juicio de ponderación que se rige por la exigencia y observancia de tres momentos: el juicio de idoneidad, el juicio de necesidad y el juicio de estricta proporcionalidad. </w:t>
      </w:r>
    </w:p>
    <w:p w:rsidR="00C47046" w:rsidRPr="00D034C2" w:rsidRDefault="00C47046" w:rsidP="00D034C2">
      <w:pPr>
        <w:spacing w:line="360" w:lineRule="auto"/>
        <w:ind w:left="284"/>
        <w:jc w:val="both"/>
        <w:rPr>
          <w:rFonts w:ascii="Palatino Linotype" w:hAnsi="Palatino Linotype"/>
          <w:sz w:val="24"/>
          <w:szCs w:val="24"/>
        </w:rPr>
      </w:pPr>
    </w:p>
    <w:p w:rsidR="00C8504D" w:rsidRPr="00D034C2" w:rsidRDefault="00C8504D" w:rsidP="00C8504D">
      <w:pPr>
        <w:spacing w:after="0" w:line="360" w:lineRule="auto"/>
        <w:jc w:val="both"/>
        <w:rPr>
          <w:rFonts w:ascii="Palatino Linotype" w:hAnsi="Palatino Linotype" w:cs="Arial"/>
          <w:sz w:val="24"/>
          <w:szCs w:val="24"/>
        </w:rPr>
      </w:pPr>
      <w:r w:rsidRPr="00D034C2">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C8504D" w:rsidRPr="00D034C2" w:rsidRDefault="00C8504D" w:rsidP="00C8504D">
          <w:pPr>
            <w:pStyle w:val="TtulodeTDC"/>
            <w:spacing w:line="360" w:lineRule="auto"/>
            <w:rPr>
              <w:rFonts w:ascii="Palatino Linotype" w:hAnsi="Palatino Linotype"/>
              <w:sz w:val="24"/>
              <w:szCs w:val="24"/>
            </w:rPr>
          </w:pPr>
        </w:p>
        <w:p w:rsidR="00B1285D" w:rsidRDefault="00C8504D">
          <w:pPr>
            <w:pStyle w:val="TDC1"/>
            <w:tabs>
              <w:tab w:val="left" w:pos="440"/>
              <w:tab w:val="right" w:leader="dot" w:pos="8828"/>
            </w:tabs>
            <w:rPr>
              <w:rFonts w:eastAsiaTheme="minorEastAsia"/>
              <w:noProof/>
              <w:lang w:eastAsia="es-MX"/>
            </w:rPr>
          </w:pPr>
          <w:r w:rsidRPr="00D034C2">
            <w:rPr>
              <w:rFonts w:ascii="Palatino Linotype" w:hAnsi="Palatino Linotype"/>
              <w:sz w:val="24"/>
              <w:szCs w:val="24"/>
            </w:rPr>
            <w:fldChar w:fldCharType="begin"/>
          </w:r>
          <w:r w:rsidRPr="00D034C2">
            <w:rPr>
              <w:rFonts w:ascii="Palatino Linotype" w:hAnsi="Palatino Linotype"/>
              <w:sz w:val="24"/>
              <w:szCs w:val="24"/>
            </w:rPr>
            <w:instrText xml:space="preserve"> TOC \o "1-3" \h \z \u </w:instrText>
          </w:r>
          <w:r w:rsidRPr="00D034C2">
            <w:rPr>
              <w:rFonts w:ascii="Palatino Linotype" w:hAnsi="Palatino Linotype"/>
              <w:sz w:val="24"/>
              <w:szCs w:val="24"/>
            </w:rPr>
            <w:fldChar w:fldCharType="separate"/>
          </w:r>
          <w:hyperlink w:anchor="_Toc522534818" w:history="1">
            <w:r w:rsidR="00B1285D" w:rsidRPr="00F8418C">
              <w:rPr>
                <w:rStyle w:val="Hipervnculo"/>
                <w:rFonts w:ascii="Palatino Linotype" w:hAnsi="Palatino Linotype"/>
                <w:b/>
                <w:noProof/>
              </w:rPr>
              <w:t>I.</w:t>
            </w:r>
            <w:r w:rsidR="00B1285D">
              <w:rPr>
                <w:rFonts w:eastAsiaTheme="minorEastAsia"/>
                <w:noProof/>
                <w:lang w:eastAsia="es-MX"/>
              </w:rPr>
              <w:tab/>
            </w:r>
            <w:r w:rsidR="00B1285D" w:rsidRPr="00F8418C">
              <w:rPr>
                <w:rStyle w:val="Hipervnculo"/>
                <w:rFonts w:ascii="Palatino Linotype" w:hAnsi="Palatino Linotype"/>
                <w:b/>
                <w:noProof/>
              </w:rPr>
              <w:t>Consideraciones Generales</w:t>
            </w:r>
            <w:r w:rsidR="00B1285D">
              <w:rPr>
                <w:noProof/>
                <w:webHidden/>
              </w:rPr>
              <w:tab/>
            </w:r>
            <w:r w:rsidR="00B1285D">
              <w:rPr>
                <w:noProof/>
                <w:webHidden/>
              </w:rPr>
              <w:fldChar w:fldCharType="begin"/>
            </w:r>
            <w:r w:rsidR="00B1285D">
              <w:rPr>
                <w:noProof/>
                <w:webHidden/>
              </w:rPr>
              <w:instrText xml:space="preserve"> PAGEREF _Toc522534818 \h </w:instrText>
            </w:r>
            <w:r w:rsidR="00B1285D">
              <w:rPr>
                <w:noProof/>
                <w:webHidden/>
              </w:rPr>
            </w:r>
            <w:r w:rsidR="00B1285D">
              <w:rPr>
                <w:noProof/>
                <w:webHidden/>
              </w:rPr>
              <w:fldChar w:fldCharType="separate"/>
            </w:r>
            <w:r w:rsidR="00B1285D">
              <w:rPr>
                <w:noProof/>
                <w:webHidden/>
              </w:rPr>
              <w:t>2</w:t>
            </w:r>
            <w:r w:rsidR="00B1285D">
              <w:rPr>
                <w:noProof/>
                <w:webHidden/>
              </w:rPr>
              <w:fldChar w:fldCharType="end"/>
            </w:r>
          </w:hyperlink>
        </w:p>
        <w:p w:rsidR="00B1285D" w:rsidRDefault="002931EA">
          <w:pPr>
            <w:pStyle w:val="TDC1"/>
            <w:tabs>
              <w:tab w:val="left" w:pos="660"/>
              <w:tab w:val="right" w:leader="dot" w:pos="8828"/>
            </w:tabs>
            <w:rPr>
              <w:rFonts w:eastAsiaTheme="minorEastAsia"/>
              <w:noProof/>
              <w:lang w:eastAsia="es-MX"/>
            </w:rPr>
          </w:pPr>
          <w:hyperlink w:anchor="_Toc522534819" w:history="1">
            <w:r w:rsidR="00B1285D" w:rsidRPr="00F8418C">
              <w:rPr>
                <w:rStyle w:val="Hipervnculo"/>
                <w:rFonts w:ascii="Palatino Linotype" w:hAnsi="Palatino Linotype"/>
                <w:b/>
                <w:noProof/>
              </w:rPr>
              <w:t>II.</w:t>
            </w:r>
            <w:r w:rsidR="00B1285D">
              <w:rPr>
                <w:rFonts w:eastAsiaTheme="minorEastAsia"/>
                <w:noProof/>
                <w:lang w:eastAsia="es-MX"/>
              </w:rPr>
              <w:tab/>
            </w:r>
            <w:r w:rsidR="00B1285D" w:rsidRPr="00F8418C">
              <w:rPr>
                <w:rStyle w:val="Hipervnculo"/>
                <w:rFonts w:ascii="Palatino Linotype" w:hAnsi="Palatino Linotype"/>
                <w:b/>
                <w:noProof/>
              </w:rPr>
              <w:t>La naturaleza del Título Profesional.</w:t>
            </w:r>
            <w:r w:rsidR="00B1285D">
              <w:rPr>
                <w:noProof/>
                <w:webHidden/>
              </w:rPr>
              <w:tab/>
            </w:r>
            <w:r w:rsidR="00B1285D">
              <w:rPr>
                <w:noProof/>
                <w:webHidden/>
              </w:rPr>
              <w:fldChar w:fldCharType="begin"/>
            </w:r>
            <w:r w:rsidR="00B1285D">
              <w:rPr>
                <w:noProof/>
                <w:webHidden/>
              </w:rPr>
              <w:instrText xml:space="preserve"> PAGEREF _Toc522534819 \h </w:instrText>
            </w:r>
            <w:r w:rsidR="00B1285D">
              <w:rPr>
                <w:noProof/>
                <w:webHidden/>
              </w:rPr>
            </w:r>
            <w:r w:rsidR="00B1285D">
              <w:rPr>
                <w:noProof/>
                <w:webHidden/>
              </w:rPr>
              <w:fldChar w:fldCharType="separate"/>
            </w:r>
            <w:r w:rsidR="00B1285D">
              <w:rPr>
                <w:noProof/>
                <w:webHidden/>
              </w:rPr>
              <w:t>4</w:t>
            </w:r>
            <w:r w:rsidR="00B1285D">
              <w:rPr>
                <w:noProof/>
                <w:webHidden/>
              </w:rPr>
              <w:fldChar w:fldCharType="end"/>
            </w:r>
          </w:hyperlink>
        </w:p>
        <w:p w:rsidR="00B1285D" w:rsidRDefault="002931EA">
          <w:pPr>
            <w:pStyle w:val="TDC2"/>
            <w:tabs>
              <w:tab w:val="left" w:pos="880"/>
              <w:tab w:val="right" w:leader="dot" w:pos="8828"/>
            </w:tabs>
            <w:rPr>
              <w:rFonts w:eastAsiaTheme="minorEastAsia"/>
              <w:noProof/>
              <w:lang w:eastAsia="es-MX"/>
            </w:rPr>
          </w:pPr>
          <w:hyperlink w:anchor="_Toc522534820" w:history="1">
            <w:r w:rsidR="00B1285D" w:rsidRPr="00F8418C">
              <w:rPr>
                <w:rStyle w:val="Hipervnculo"/>
                <w:rFonts w:ascii="Palatino Linotype" w:hAnsi="Palatino Linotype"/>
                <w:b/>
                <w:noProof/>
              </w:rPr>
              <w:t>A)</w:t>
            </w:r>
            <w:r w:rsidR="00B1285D">
              <w:rPr>
                <w:rFonts w:eastAsiaTheme="minorEastAsia"/>
                <w:noProof/>
                <w:lang w:eastAsia="es-MX"/>
              </w:rPr>
              <w:tab/>
            </w:r>
            <w:r w:rsidR="00B1285D" w:rsidRPr="00F8418C">
              <w:rPr>
                <w:rStyle w:val="Hipervnculo"/>
                <w:rFonts w:ascii="Palatino Linotype" w:hAnsi="Palatino Linotype"/>
                <w:b/>
                <w:noProof/>
              </w:rPr>
              <w:t>El Título Profesional:</w:t>
            </w:r>
            <w:r w:rsidR="00B1285D">
              <w:rPr>
                <w:noProof/>
                <w:webHidden/>
              </w:rPr>
              <w:tab/>
            </w:r>
            <w:r w:rsidR="00B1285D">
              <w:rPr>
                <w:noProof/>
                <w:webHidden/>
              </w:rPr>
              <w:fldChar w:fldCharType="begin"/>
            </w:r>
            <w:r w:rsidR="00B1285D">
              <w:rPr>
                <w:noProof/>
                <w:webHidden/>
              </w:rPr>
              <w:instrText xml:space="preserve"> PAGEREF _Toc522534820 \h </w:instrText>
            </w:r>
            <w:r w:rsidR="00B1285D">
              <w:rPr>
                <w:noProof/>
                <w:webHidden/>
              </w:rPr>
            </w:r>
            <w:r w:rsidR="00B1285D">
              <w:rPr>
                <w:noProof/>
                <w:webHidden/>
              </w:rPr>
              <w:fldChar w:fldCharType="separate"/>
            </w:r>
            <w:r w:rsidR="00B1285D">
              <w:rPr>
                <w:noProof/>
                <w:webHidden/>
              </w:rPr>
              <w:t>4</w:t>
            </w:r>
            <w:r w:rsidR="00B1285D">
              <w:rPr>
                <w:noProof/>
                <w:webHidden/>
              </w:rPr>
              <w:fldChar w:fldCharType="end"/>
            </w:r>
          </w:hyperlink>
        </w:p>
        <w:p w:rsidR="00B1285D" w:rsidRDefault="002931EA">
          <w:pPr>
            <w:pStyle w:val="TDC1"/>
            <w:tabs>
              <w:tab w:val="left" w:pos="660"/>
              <w:tab w:val="right" w:leader="dot" w:pos="8828"/>
            </w:tabs>
            <w:rPr>
              <w:rFonts w:eastAsiaTheme="minorEastAsia"/>
              <w:noProof/>
              <w:lang w:eastAsia="es-MX"/>
            </w:rPr>
          </w:pPr>
          <w:hyperlink w:anchor="_Toc522534821" w:history="1">
            <w:r w:rsidR="00B1285D" w:rsidRPr="00F8418C">
              <w:rPr>
                <w:rStyle w:val="Hipervnculo"/>
                <w:rFonts w:ascii="Palatino Linotype" w:hAnsi="Palatino Linotype" w:cs="Arial"/>
                <w:b/>
                <w:noProof/>
              </w:rPr>
              <w:t>III.</w:t>
            </w:r>
            <w:r w:rsidR="00B1285D">
              <w:rPr>
                <w:rFonts w:eastAsiaTheme="minorEastAsia"/>
                <w:noProof/>
                <w:lang w:eastAsia="es-MX"/>
              </w:rPr>
              <w:tab/>
            </w:r>
            <w:r w:rsidR="00B1285D" w:rsidRPr="00F8418C">
              <w:rPr>
                <w:rStyle w:val="Hipervnculo"/>
                <w:rFonts w:ascii="Palatino Linotype" w:hAnsi="Palatino Linotype"/>
                <w:b/>
                <w:noProof/>
              </w:rPr>
              <w:t>La naturaleza de la función pública que se desempeña</w:t>
            </w:r>
            <w:r w:rsidR="00B1285D" w:rsidRPr="00F8418C">
              <w:rPr>
                <w:rStyle w:val="Hipervnculo"/>
                <w:rFonts w:ascii="Palatino Linotype" w:hAnsi="Palatino Linotype" w:cs="Arial"/>
                <w:b/>
                <w:noProof/>
              </w:rPr>
              <w:t>.</w:t>
            </w:r>
            <w:r w:rsidR="00B1285D">
              <w:rPr>
                <w:noProof/>
                <w:webHidden/>
              </w:rPr>
              <w:tab/>
            </w:r>
            <w:r w:rsidR="00B1285D">
              <w:rPr>
                <w:noProof/>
                <w:webHidden/>
              </w:rPr>
              <w:fldChar w:fldCharType="begin"/>
            </w:r>
            <w:r w:rsidR="00B1285D">
              <w:rPr>
                <w:noProof/>
                <w:webHidden/>
              </w:rPr>
              <w:instrText xml:space="preserve"> PAGEREF _Toc522534821 \h </w:instrText>
            </w:r>
            <w:r w:rsidR="00B1285D">
              <w:rPr>
                <w:noProof/>
                <w:webHidden/>
              </w:rPr>
            </w:r>
            <w:r w:rsidR="00B1285D">
              <w:rPr>
                <w:noProof/>
                <w:webHidden/>
              </w:rPr>
              <w:fldChar w:fldCharType="separate"/>
            </w:r>
            <w:r w:rsidR="00B1285D">
              <w:rPr>
                <w:noProof/>
                <w:webHidden/>
              </w:rPr>
              <w:t>5</w:t>
            </w:r>
            <w:r w:rsidR="00B1285D">
              <w:rPr>
                <w:noProof/>
                <w:webHidden/>
              </w:rPr>
              <w:fldChar w:fldCharType="end"/>
            </w:r>
          </w:hyperlink>
        </w:p>
        <w:p w:rsidR="00B1285D" w:rsidRDefault="002931EA">
          <w:pPr>
            <w:pStyle w:val="TDC1"/>
            <w:tabs>
              <w:tab w:val="left" w:pos="660"/>
              <w:tab w:val="right" w:leader="dot" w:pos="8828"/>
            </w:tabs>
            <w:rPr>
              <w:rFonts w:eastAsiaTheme="minorEastAsia"/>
              <w:noProof/>
              <w:lang w:eastAsia="es-MX"/>
            </w:rPr>
          </w:pPr>
          <w:hyperlink w:anchor="_Toc522534822" w:history="1">
            <w:r w:rsidR="00B1285D" w:rsidRPr="00F8418C">
              <w:rPr>
                <w:rStyle w:val="Hipervnculo"/>
                <w:rFonts w:ascii="Palatino Linotype" w:hAnsi="Palatino Linotype" w:cs="Arial"/>
                <w:b/>
                <w:noProof/>
              </w:rPr>
              <w:t>IV.</w:t>
            </w:r>
            <w:r w:rsidR="00B1285D">
              <w:rPr>
                <w:rFonts w:eastAsiaTheme="minorEastAsia"/>
                <w:noProof/>
                <w:lang w:eastAsia="es-MX"/>
              </w:rPr>
              <w:tab/>
            </w:r>
            <w:r w:rsidR="00B1285D" w:rsidRPr="00F8418C">
              <w:rPr>
                <w:rStyle w:val="Hipervnculo"/>
                <w:rFonts w:ascii="Palatino Linotype" w:hAnsi="Palatino Linotype"/>
                <w:b/>
                <w:noProof/>
              </w:rPr>
              <w:t>Acceso a la información versus protección de datos personales</w:t>
            </w:r>
            <w:r w:rsidR="00B1285D" w:rsidRPr="00F8418C">
              <w:rPr>
                <w:rStyle w:val="Hipervnculo"/>
                <w:rFonts w:ascii="Palatino Linotype" w:hAnsi="Palatino Linotype" w:cs="Arial"/>
                <w:b/>
                <w:noProof/>
              </w:rPr>
              <w:t>.</w:t>
            </w:r>
            <w:r w:rsidR="00B1285D">
              <w:rPr>
                <w:noProof/>
                <w:webHidden/>
              </w:rPr>
              <w:tab/>
            </w:r>
            <w:r w:rsidR="00B1285D">
              <w:rPr>
                <w:noProof/>
                <w:webHidden/>
              </w:rPr>
              <w:fldChar w:fldCharType="begin"/>
            </w:r>
            <w:r w:rsidR="00B1285D">
              <w:rPr>
                <w:noProof/>
                <w:webHidden/>
              </w:rPr>
              <w:instrText xml:space="preserve"> PAGEREF _Toc522534822 \h </w:instrText>
            </w:r>
            <w:r w:rsidR="00B1285D">
              <w:rPr>
                <w:noProof/>
                <w:webHidden/>
              </w:rPr>
            </w:r>
            <w:r w:rsidR="00B1285D">
              <w:rPr>
                <w:noProof/>
                <w:webHidden/>
              </w:rPr>
              <w:fldChar w:fldCharType="separate"/>
            </w:r>
            <w:r w:rsidR="00B1285D">
              <w:rPr>
                <w:noProof/>
                <w:webHidden/>
              </w:rPr>
              <w:t>6</w:t>
            </w:r>
            <w:r w:rsidR="00B1285D">
              <w:rPr>
                <w:noProof/>
                <w:webHidden/>
              </w:rPr>
              <w:fldChar w:fldCharType="end"/>
            </w:r>
          </w:hyperlink>
        </w:p>
        <w:p w:rsidR="00B1285D" w:rsidRDefault="002931EA">
          <w:pPr>
            <w:pStyle w:val="TDC2"/>
            <w:tabs>
              <w:tab w:val="left" w:pos="660"/>
              <w:tab w:val="right" w:leader="dot" w:pos="8828"/>
            </w:tabs>
            <w:rPr>
              <w:rFonts w:eastAsiaTheme="minorEastAsia"/>
              <w:noProof/>
              <w:lang w:eastAsia="es-MX"/>
            </w:rPr>
          </w:pPr>
          <w:hyperlink w:anchor="_Toc522534823" w:history="1">
            <w:r w:rsidR="00B1285D" w:rsidRPr="00F8418C">
              <w:rPr>
                <w:rStyle w:val="Hipervnculo"/>
                <w:rFonts w:ascii="Palatino Linotype" w:hAnsi="Palatino Linotype"/>
                <w:b/>
                <w:noProof/>
              </w:rPr>
              <w:t>a.</w:t>
            </w:r>
            <w:r w:rsidR="00B1285D">
              <w:rPr>
                <w:rFonts w:eastAsiaTheme="minorEastAsia"/>
                <w:noProof/>
                <w:lang w:eastAsia="es-MX"/>
              </w:rPr>
              <w:tab/>
            </w:r>
            <w:r w:rsidR="00B1285D" w:rsidRPr="00F8418C">
              <w:rPr>
                <w:rStyle w:val="Hipervnculo"/>
                <w:rFonts w:ascii="Palatino Linotype" w:hAnsi="Palatino Linotype"/>
                <w:b/>
                <w:noProof/>
              </w:rPr>
              <w:t>Juicio de idoneidad.</w:t>
            </w:r>
            <w:r w:rsidR="00B1285D">
              <w:rPr>
                <w:noProof/>
                <w:webHidden/>
              </w:rPr>
              <w:tab/>
            </w:r>
            <w:r w:rsidR="00B1285D">
              <w:rPr>
                <w:noProof/>
                <w:webHidden/>
              </w:rPr>
              <w:fldChar w:fldCharType="begin"/>
            </w:r>
            <w:r w:rsidR="00B1285D">
              <w:rPr>
                <w:noProof/>
                <w:webHidden/>
              </w:rPr>
              <w:instrText xml:space="preserve"> PAGEREF _Toc522534823 \h </w:instrText>
            </w:r>
            <w:r w:rsidR="00B1285D">
              <w:rPr>
                <w:noProof/>
                <w:webHidden/>
              </w:rPr>
            </w:r>
            <w:r w:rsidR="00B1285D">
              <w:rPr>
                <w:noProof/>
                <w:webHidden/>
              </w:rPr>
              <w:fldChar w:fldCharType="separate"/>
            </w:r>
            <w:r w:rsidR="00B1285D">
              <w:rPr>
                <w:noProof/>
                <w:webHidden/>
              </w:rPr>
              <w:t>8</w:t>
            </w:r>
            <w:r w:rsidR="00B1285D">
              <w:rPr>
                <w:noProof/>
                <w:webHidden/>
              </w:rPr>
              <w:fldChar w:fldCharType="end"/>
            </w:r>
          </w:hyperlink>
        </w:p>
        <w:p w:rsidR="00B1285D" w:rsidRDefault="002931EA">
          <w:pPr>
            <w:pStyle w:val="TDC2"/>
            <w:tabs>
              <w:tab w:val="left" w:pos="660"/>
              <w:tab w:val="right" w:leader="dot" w:pos="8828"/>
            </w:tabs>
            <w:rPr>
              <w:rFonts w:eastAsiaTheme="minorEastAsia"/>
              <w:noProof/>
              <w:lang w:eastAsia="es-MX"/>
            </w:rPr>
          </w:pPr>
          <w:hyperlink w:anchor="_Toc522534824" w:history="1">
            <w:r w:rsidR="00B1285D" w:rsidRPr="00F8418C">
              <w:rPr>
                <w:rStyle w:val="Hipervnculo"/>
                <w:rFonts w:ascii="Palatino Linotype" w:hAnsi="Palatino Linotype"/>
                <w:b/>
                <w:noProof/>
              </w:rPr>
              <w:t>b.</w:t>
            </w:r>
            <w:r w:rsidR="00B1285D">
              <w:rPr>
                <w:rFonts w:eastAsiaTheme="minorEastAsia"/>
                <w:noProof/>
                <w:lang w:eastAsia="es-MX"/>
              </w:rPr>
              <w:tab/>
            </w:r>
            <w:r w:rsidR="00B1285D" w:rsidRPr="00F8418C">
              <w:rPr>
                <w:rStyle w:val="Hipervnculo"/>
                <w:rFonts w:ascii="Palatino Linotype" w:hAnsi="Palatino Linotype"/>
                <w:b/>
                <w:noProof/>
              </w:rPr>
              <w:t>Juicio de Necesidad.</w:t>
            </w:r>
            <w:r w:rsidR="00B1285D">
              <w:rPr>
                <w:noProof/>
                <w:webHidden/>
              </w:rPr>
              <w:tab/>
            </w:r>
            <w:r w:rsidR="00B1285D">
              <w:rPr>
                <w:noProof/>
                <w:webHidden/>
              </w:rPr>
              <w:fldChar w:fldCharType="begin"/>
            </w:r>
            <w:r w:rsidR="00B1285D">
              <w:rPr>
                <w:noProof/>
                <w:webHidden/>
              </w:rPr>
              <w:instrText xml:space="preserve"> PAGEREF _Toc522534824 \h </w:instrText>
            </w:r>
            <w:r w:rsidR="00B1285D">
              <w:rPr>
                <w:noProof/>
                <w:webHidden/>
              </w:rPr>
            </w:r>
            <w:r w:rsidR="00B1285D">
              <w:rPr>
                <w:noProof/>
                <w:webHidden/>
              </w:rPr>
              <w:fldChar w:fldCharType="separate"/>
            </w:r>
            <w:r w:rsidR="00B1285D">
              <w:rPr>
                <w:noProof/>
                <w:webHidden/>
              </w:rPr>
              <w:t>9</w:t>
            </w:r>
            <w:r w:rsidR="00B1285D">
              <w:rPr>
                <w:noProof/>
                <w:webHidden/>
              </w:rPr>
              <w:fldChar w:fldCharType="end"/>
            </w:r>
          </w:hyperlink>
        </w:p>
        <w:p w:rsidR="00B1285D" w:rsidRDefault="002931EA">
          <w:pPr>
            <w:pStyle w:val="TDC2"/>
            <w:tabs>
              <w:tab w:val="left" w:pos="660"/>
              <w:tab w:val="right" w:leader="dot" w:pos="8828"/>
            </w:tabs>
            <w:rPr>
              <w:rFonts w:eastAsiaTheme="minorEastAsia"/>
              <w:noProof/>
              <w:lang w:eastAsia="es-MX"/>
            </w:rPr>
          </w:pPr>
          <w:hyperlink w:anchor="_Toc522534825" w:history="1">
            <w:r w:rsidR="00B1285D" w:rsidRPr="00F8418C">
              <w:rPr>
                <w:rStyle w:val="Hipervnculo"/>
                <w:rFonts w:ascii="Palatino Linotype" w:hAnsi="Palatino Linotype"/>
                <w:b/>
                <w:noProof/>
              </w:rPr>
              <w:t>c.</w:t>
            </w:r>
            <w:r w:rsidR="00B1285D">
              <w:rPr>
                <w:rFonts w:eastAsiaTheme="minorEastAsia"/>
                <w:noProof/>
                <w:lang w:eastAsia="es-MX"/>
              </w:rPr>
              <w:tab/>
            </w:r>
            <w:r w:rsidR="00B1285D" w:rsidRPr="00F8418C">
              <w:rPr>
                <w:rStyle w:val="Hipervnculo"/>
                <w:rFonts w:ascii="Palatino Linotype" w:hAnsi="Palatino Linotype"/>
                <w:b/>
                <w:noProof/>
              </w:rPr>
              <w:t>Juicio de estricta proporcionalidad.</w:t>
            </w:r>
            <w:r w:rsidR="00B1285D">
              <w:rPr>
                <w:noProof/>
                <w:webHidden/>
              </w:rPr>
              <w:tab/>
            </w:r>
            <w:r w:rsidR="00B1285D">
              <w:rPr>
                <w:noProof/>
                <w:webHidden/>
              </w:rPr>
              <w:fldChar w:fldCharType="begin"/>
            </w:r>
            <w:r w:rsidR="00B1285D">
              <w:rPr>
                <w:noProof/>
                <w:webHidden/>
              </w:rPr>
              <w:instrText xml:space="preserve"> PAGEREF _Toc522534825 \h </w:instrText>
            </w:r>
            <w:r w:rsidR="00B1285D">
              <w:rPr>
                <w:noProof/>
                <w:webHidden/>
              </w:rPr>
            </w:r>
            <w:r w:rsidR="00B1285D">
              <w:rPr>
                <w:noProof/>
                <w:webHidden/>
              </w:rPr>
              <w:fldChar w:fldCharType="separate"/>
            </w:r>
            <w:r w:rsidR="00B1285D">
              <w:rPr>
                <w:noProof/>
                <w:webHidden/>
              </w:rPr>
              <w:t>10</w:t>
            </w:r>
            <w:r w:rsidR="00B1285D">
              <w:rPr>
                <w:noProof/>
                <w:webHidden/>
              </w:rPr>
              <w:fldChar w:fldCharType="end"/>
            </w:r>
          </w:hyperlink>
        </w:p>
        <w:p w:rsidR="00C8504D" w:rsidRPr="00D034C2" w:rsidRDefault="00C8504D" w:rsidP="00C8504D">
          <w:pPr>
            <w:spacing w:line="360" w:lineRule="auto"/>
            <w:rPr>
              <w:rFonts w:ascii="Palatino Linotype" w:hAnsi="Palatino Linotype"/>
              <w:sz w:val="24"/>
              <w:szCs w:val="24"/>
            </w:rPr>
          </w:pPr>
          <w:r w:rsidRPr="00D034C2">
            <w:rPr>
              <w:rFonts w:ascii="Palatino Linotype" w:hAnsi="Palatino Linotype"/>
              <w:b/>
              <w:bCs/>
              <w:sz w:val="24"/>
              <w:szCs w:val="24"/>
              <w:lang w:val="es-ES"/>
            </w:rPr>
            <w:fldChar w:fldCharType="end"/>
          </w:r>
        </w:p>
      </w:sdtContent>
    </w:sdt>
    <w:p w:rsidR="00D034C2" w:rsidRDefault="00D034C2" w:rsidP="00D034C2">
      <w:pPr>
        <w:spacing w:after="0" w:line="360" w:lineRule="auto"/>
        <w:ind w:left="426" w:hanging="426"/>
        <w:jc w:val="both"/>
        <w:rPr>
          <w:rFonts w:ascii="Palatino Linotype" w:hAnsi="Palatino Linotype" w:cs="Arial"/>
          <w:b/>
          <w:sz w:val="24"/>
          <w:szCs w:val="24"/>
        </w:rPr>
      </w:pPr>
    </w:p>
    <w:p w:rsidR="00D034C2" w:rsidRPr="00D034C2" w:rsidRDefault="00D034C2" w:rsidP="00D034C2">
      <w:pPr>
        <w:pStyle w:val="Ttulo1"/>
        <w:numPr>
          <w:ilvl w:val="0"/>
          <w:numId w:val="24"/>
        </w:numPr>
        <w:rPr>
          <w:rFonts w:ascii="Palatino Linotype" w:hAnsi="Palatino Linotype"/>
          <w:b/>
          <w:color w:val="auto"/>
          <w:sz w:val="24"/>
          <w:szCs w:val="24"/>
        </w:rPr>
      </w:pPr>
      <w:bookmarkStart w:id="1" w:name="_Toc522534818"/>
      <w:r w:rsidRPr="00D034C2">
        <w:rPr>
          <w:rFonts w:ascii="Palatino Linotype" w:hAnsi="Palatino Linotype"/>
          <w:b/>
          <w:color w:val="auto"/>
          <w:sz w:val="24"/>
          <w:szCs w:val="24"/>
        </w:rPr>
        <w:t>Consideraciones Generales</w:t>
      </w:r>
      <w:bookmarkEnd w:id="1"/>
    </w:p>
    <w:p w:rsidR="00D034C2" w:rsidRPr="00D034C2" w:rsidRDefault="00D034C2" w:rsidP="00D034C2">
      <w:pPr>
        <w:keepNext/>
        <w:keepLines/>
        <w:spacing w:before="240" w:after="0" w:line="360" w:lineRule="auto"/>
        <w:ind w:left="426" w:hanging="426"/>
        <w:outlineLvl w:val="0"/>
        <w:rPr>
          <w:rFonts w:ascii="Palatino Linotype" w:eastAsiaTheme="majorEastAsia" w:hAnsi="Palatino Linotype" w:cstheme="majorBidi"/>
          <w:color w:val="2E74B5" w:themeColor="accent1" w:themeShade="BF"/>
          <w:sz w:val="24"/>
          <w:szCs w:val="24"/>
        </w:rPr>
      </w:pPr>
    </w:p>
    <w:p w:rsidR="00D034C2" w:rsidRPr="00D034C2" w:rsidRDefault="00D034C2" w:rsidP="005823DB">
      <w:pPr>
        <w:numPr>
          <w:ilvl w:val="0"/>
          <w:numId w:val="3"/>
        </w:numPr>
        <w:spacing w:after="0" w:line="360" w:lineRule="auto"/>
        <w:contextualSpacing/>
        <w:jc w:val="both"/>
        <w:rPr>
          <w:rFonts w:ascii="Palatino Linotype" w:hAnsi="Palatino Linotype" w:cs="Arial"/>
          <w:b/>
          <w:sz w:val="24"/>
          <w:szCs w:val="24"/>
        </w:rPr>
      </w:pPr>
      <w:r w:rsidRPr="00D034C2">
        <w:rPr>
          <w:rFonts w:ascii="Palatino Linotype" w:eastAsia="Times New Roman" w:hAnsi="Palatino Linotype" w:cs="Arial"/>
          <w:sz w:val="24"/>
          <w:szCs w:val="24"/>
          <w:lang w:val="es-ES_tradnl"/>
        </w:rPr>
        <w:t xml:space="preserve">He concurrido con mi voto particular de la presente resolución emitida </w:t>
      </w:r>
      <w:r w:rsidRPr="00D034C2">
        <w:rPr>
          <w:rFonts w:ascii="Palatino Linotype" w:hAnsi="Palatino Linotype" w:cs="Arial"/>
          <w:sz w:val="24"/>
          <w:szCs w:val="24"/>
        </w:rPr>
        <w:t xml:space="preserve">por el Pleno del Instituto de Transparencia, Acceso a la Información Pública y Protección de Datos Personales del Estado de México y Municipios, en la </w:t>
      </w:r>
      <w:r w:rsidR="005823DB">
        <w:rPr>
          <w:rFonts w:ascii="Palatino Linotype" w:hAnsi="Palatino Linotype" w:cs="Arial"/>
          <w:sz w:val="24"/>
          <w:szCs w:val="24"/>
        </w:rPr>
        <w:t>Vigésimo Novena</w:t>
      </w:r>
      <w:r w:rsidRPr="00D034C2">
        <w:rPr>
          <w:rFonts w:ascii="Palatino Linotype" w:hAnsi="Palatino Linotype" w:cs="Arial"/>
          <w:sz w:val="24"/>
          <w:szCs w:val="24"/>
        </w:rPr>
        <w:t xml:space="preserve"> sesión ordinaria celebrada el día </w:t>
      </w:r>
      <w:r w:rsidR="005823DB">
        <w:rPr>
          <w:rFonts w:ascii="Palatino Linotype" w:hAnsi="Palatino Linotype" w:cs="Arial"/>
          <w:sz w:val="24"/>
          <w:szCs w:val="24"/>
        </w:rPr>
        <w:t>quince</w:t>
      </w:r>
      <w:r w:rsidRPr="00D034C2">
        <w:rPr>
          <w:rFonts w:ascii="Palatino Linotype" w:hAnsi="Palatino Linotype" w:cs="Arial"/>
          <w:sz w:val="24"/>
          <w:szCs w:val="24"/>
        </w:rPr>
        <w:t xml:space="preserve"> (</w:t>
      </w:r>
      <w:r w:rsidR="005823DB">
        <w:rPr>
          <w:rFonts w:ascii="Palatino Linotype" w:hAnsi="Palatino Linotype" w:cs="Arial"/>
          <w:sz w:val="24"/>
          <w:szCs w:val="24"/>
        </w:rPr>
        <w:t>15</w:t>
      </w:r>
      <w:r w:rsidRPr="00D034C2">
        <w:rPr>
          <w:rFonts w:ascii="Palatino Linotype" w:hAnsi="Palatino Linotype" w:cs="Arial"/>
          <w:sz w:val="24"/>
          <w:szCs w:val="24"/>
        </w:rPr>
        <w:t xml:space="preserve">) de </w:t>
      </w:r>
      <w:r w:rsidR="005823DB">
        <w:rPr>
          <w:rFonts w:ascii="Palatino Linotype" w:hAnsi="Palatino Linotype" w:cs="Arial"/>
          <w:sz w:val="24"/>
          <w:szCs w:val="24"/>
        </w:rPr>
        <w:t>agosto</w:t>
      </w:r>
      <w:r w:rsidRPr="00D034C2">
        <w:rPr>
          <w:rFonts w:ascii="Palatino Linotype" w:hAnsi="Palatino Linotype" w:cs="Arial"/>
          <w:sz w:val="24"/>
          <w:szCs w:val="24"/>
        </w:rPr>
        <w:t xml:space="preserve"> de dos mil dieciocho, en el recurso de revisión promovido por </w:t>
      </w:r>
      <w:r w:rsidR="00096FC3">
        <w:rPr>
          <w:rFonts w:ascii="Palatino Linotype" w:hAnsi="Palatino Linotype" w:cs="Arial"/>
          <w:sz w:val="24"/>
          <w:szCs w:val="24"/>
        </w:rPr>
        <w:t xml:space="preserve">xxxxx </w:t>
      </w:r>
      <w:r w:rsidRPr="00D034C2">
        <w:rPr>
          <w:rFonts w:ascii="Palatino Linotype" w:hAnsi="Palatino Linotype" w:cs="Arial"/>
          <w:sz w:val="24"/>
          <w:szCs w:val="24"/>
        </w:rPr>
        <w:t>en contra de la respuesta de</w:t>
      </w:r>
      <w:r w:rsidR="005823DB">
        <w:rPr>
          <w:rFonts w:ascii="Palatino Linotype" w:hAnsi="Palatino Linotype" w:cs="Arial"/>
          <w:sz w:val="24"/>
          <w:szCs w:val="24"/>
        </w:rPr>
        <w:t xml:space="preserve"> </w:t>
      </w:r>
      <w:r w:rsidRPr="00D034C2">
        <w:rPr>
          <w:rFonts w:ascii="Palatino Linotype" w:hAnsi="Palatino Linotype" w:cs="Arial"/>
          <w:sz w:val="24"/>
          <w:szCs w:val="24"/>
        </w:rPr>
        <w:t>l</w:t>
      </w:r>
      <w:r w:rsidR="005823DB">
        <w:rPr>
          <w:rFonts w:ascii="Palatino Linotype" w:hAnsi="Palatino Linotype" w:cs="Arial"/>
          <w:sz w:val="24"/>
          <w:szCs w:val="24"/>
        </w:rPr>
        <w:t>a</w:t>
      </w:r>
      <w:r w:rsidRPr="00D034C2">
        <w:rPr>
          <w:rFonts w:ascii="Palatino Linotype" w:hAnsi="Palatino Linotype" w:cs="Arial"/>
          <w:sz w:val="24"/>
          <w:szCs w:val="24"/>
        </w:rPr>
        <w:t xml:space="preserve"> </w:t>
      </w:r>
      <w:r w:rsidR="005823DB" w:rsidRPr="005823DB">
        <w:rPr>
          <w:rFonts w:ascii="Palatino Linotype" w:hAnsi="Palatino Linotype" w:cs="Arial"/>
          <w:b/>
          <w:sz w:val="24"/>
          <w:szCs w:val="24"/>
        </w:rPr>
        <w:t>Universidad Mexiquense del Bicentenario</w:t>
      </w:r>
      <w:r w:rsidRPr="00D034C2">
        <w:rPr>
          <w:rFonts w:ascii="Palatino Linotype" w:hAnsi="Palatino Linotype" w:cs="Arial"/>
          <w:sz w:val="24"/>
          <w:szCs w:val="24"/>
        </w:rPr>
        <w:t xml:space="preserve"> procedimiento al que se le asignó el número de expediente </w:t>
      </w:r>
      <w:r w:rsidR="005823DB">
        <w:rPr>
          <w:rFonts w:ascii="Palatino Linotype" w:hAnsi="Palatino Linotype" w:cs="Arial"/>
          <w:b/>
          <w:sz w:val="24"/>
          <w:szCs w:val="24"/>
        </w:rPr>
        <w:t>02107</w:t>
      </w:r>
      <w:r w:rsidRPr="00D034C2">
        <w:rPr>
          <w:rFonts w:ascii="Palatino Linotype" w:hAnsi="Palatino Linotype" w:cs="Arial"/>
          <w:b/>
          <w:sz w:val="24"/>
          <w:szCs w:val="24"/>
        </w:rPr>
        <w:t>/INFOEM/IP/RR/</w:t>
      </w:r>
      <w:r w:rsidR="005823DB">
        <w:rPr>
          <w:rFonts w:ascii="Palatino Linotype" w:hAnsi="Palatino Linotype" w:cs="Arial"/>
          <w:b/>
          <w:sz w:val="24"/>
          <w:szCs w:val="24"/>
        </w:rPr>
        <w:t>2018</w:t>
      </w:r>
      <w:r w:rsidRPr="00D034C2">
        <w:rPr>
          <w:rFonts w:ascii="Palatino Linotype" w:hAnsi="Palatino Linotype" w:cs="Arial"/>
          <w:b/>
          <w:sz w:val="24"/>
          <w:szCs w:val="24"/>
        </w:rPr>
        <w:t>.</w:t>
      </w:r>
    </w:p>
    <w:p w:rsidR="00D034C2" w:rsidRPr="00D034C2" w:rsidRDefault="00D034C2" w:rsidP="00D034C2">
      <w:pPr>
        <w:spacing w:after="0" w:line="360" w:lineRule="auto"/>
        <w:ind w:left="426" w:hanging="426"/>
        <w:jc w:val="both"/>
        <w:rPr>
          <w:rFonts w:ascii="Palatino Linotype" w:hAnsi="Palatino Linotype" w:cs="Arial"/>
          <w:b/>
          <w:sz w:val="24"/>
          <w:szCs w:val="24"/>
        </w:rPr>
      </w:pPr>
    </w:p>
    <w:p w:rsidR="00D034C2" w:rsidRPr="005823DB" w:rsidRDefault="00D034C2" w:rsidP="00D034C2">
      <w:pPr>
        <w:numPr>
          <w:ilvl w:val="0"/>
          <w:numId w:val="3"/>
        </w:numPr>
        <w:spacing w:before="240" w:after="240" w:line="360" w:lineRule="auto"/>
        <w:ind w:left="426" w:hanging="426"/>
        <w:contextualSpacing/>
        <w:jc w:val="both"/>
        <w:rPr>
          <w:rFonts w:ascii="Palatino Linotype" w:hAnsi="Palatino Linotype" w:cs="Arial"/>
          <w:i/>
          <w:sz w:val="24"/>
          <w:szCs w:val="24"/>
        </w:rPr>
      </w:pPr>
      <w:r w:rsidRPr="00D034C2">
        <w:rPr>
          <w:rFonts w:ascii="Palatino Linotype" w:hAnsi="Palatino Linotype" w:cs="Arial"/>
          <w:sz w:val="24"/>
          <w:szCs w:val="24"/>
        </w:rPr>
        <w:t xml:space="preserve">La resolución declara parcialmente </w:t>
      </w:r>
      <w:r w:rsidRPr="00D034C2">
        <w:rPr>
          <w:rFonts w:ascii="Palatino Linotype" w:eastAsia="Times New Roman" w:hAnsi="Palatino Linotype" w:cs="Arial"/>
          <w:sz w:val="24"/>
          <w:szCs w:val="24"/>
        </w:rPr>
        <w:t xml:space="preserve">fundadas las razones o motivos de inconformidad hechos valer por </w:t>
      </w:r>
      <w:r w:rsidR="005823DB">
        <w:rPr>
          <w:rFonts w:ascii="Palatino Linotype" w:eastAsia="Times New Roman" w:hAnsi="Palatino Linotype" w:cs="Arial"/>
          <w:sz w:val="24"/>
          <w:szCs w:val="24"/>
        </w:rPr>
        <w:t>la</w:t>
      </w:r>
      <w:r w:rsidRPr="00D034C2">
        <w:rPr>
          <w:rFonts w:ascii="Palatino Linotype" w:eastAsia="Times New Roman" w:hAnsi="Palatino Linotype" w:cs="Arial"/>
          <w:sz w:val="24"/>
          <w:szCs w:val="24"/>
        </w:rPr>
        <w:t xml:space="preserve"> particular ordenándole al </w:t>
      </w:r>
      <w:r w:rsidRPr="00D034C2">
        <w:rPr>
          <w:rFonts w:ascii="Palatino Linotype" w:eastAsia="Times New Roman" w:hAnsi="Palatino Linotype" w:cs="Arial"/>
          <w:b/>
          <w:sz w:val="24"/>
          <w:szCs w:val="24"/>
        </w:rPr>
        <w:t>SUJETO OBLIGADO</w:t>
      </w:r>
      <w:r w:rsidRPr="00D034C2">
        <w:rPr>
          <w:rFonts w:ascii="Palatino Linotype" w:eastAsia="Times New Roman" w:hAnsi="Palatino Linotype" w:cs="Arial"/>
          <w:sz w:val="24"/>
          <w:szCs w:val="24"/>
        </w:rPr>
        <w:t xml:space="preserve"> </w:t>
      </w:r>
      <w:r w:rsidR="005823DB">
        <w:rPr>
          <w:rFonts w:ascii="Palatino Linotype" w:eastAsia="Times New Roman" w:hAnsi="Palatino Linotype" w:cs="Arial"/>
          <w:sz w:val="24"/>
          <w:szCs w:val="24"/>
        </w:rPr>
        <w:t xml:space="preserve">permita a la </w:t>
      </w:r>
      <w:r w:rsidR="005823DB">
        <w:rPr>
          <w:rFonts w:ascii="Palatino Linotype" w:eastAsia="Times New Roman" w:hAnsi="Palatino Linotype" w:cs="Arial"/>
          <w:b/>
          <w:sz w:val="24"/>
          <w:szCs w:val="24"/>
        </w:rPr>
        <w:t>RECURRENTE</w:t>
      </w:r>
      <w:r w:rsidR="005823DB">
        <w:rPr>
          <w:rFonts w:ascii="Palatino Linotype" w:eastAsia="Times New Roman" w:hAnsi="Palatino Linotype" w:cs="Arial"/>
          <w:sz w:val="24"/>
          <w:szCs w:val="24"/>
        </w:rPr>
        <w:t xml:space="preserve"> la consulta directa, en versión pública de lo siguiente:</w:t>
      </w:r>
    </w:p>
    <w:p w:rsidR="005823DB" w:rsidRDefault="005823DB" w:rsidP="005823DB">
      <w:pPr>
        <w:spacing w:before="240" w:after="240" w:line="360" w:lineRule="auto"/>
        <w:ind w:left="426"/>
        <w:contextualSpacing/>
        <w:jc w:val="both"/>
        <w:rPr>
          <w:rFonts w:ascii="Palatino Linotype" w:hAnsi="Palatino Linotype" w:cs="Arial"/>
          <w:i/>
          <w:sz w:val="24"/>
          <w:szCs w:val="24"/>
        </w:rPr>
      </w:pPr>
    </w:p>
    <w:p w:rsidR="005823DB" w:rsidRPr="005823DB" w:rsidRDefault="005823DB" w:rsidP="005823DB">
      <w:pPr>
        <w:spacing w:before="240" w:after="240" w:line="360" w:lineRule="auto"/>
        <w:ind w:left="851" w:right="567"/>
        <w:contextualSpacing/>
        <w:jc w:val="both"/>
        <w:rPr>
          <w:rFonts w:ascii="Palatino Linotype" w:hAnsi="Palatino Linotype" w:cs="Arial"/>
          <w:i/>
          <w:szCs w:val="24"/>
        </w:rPr>
      </w:pPr>
      <w:r w:rsidRPr="005823DB">
        <w:rPr>
          <w:rFonts w:ascii="Palatino Linotype" w:hAnsi="Palatino Linotype" w:cs="Arial"/>
          <w:i/>
          <w:szCs w:val="24"/>
        </w:rPr>
        <w:t xml:space="preserve">“Los currículum vitae o información curricular, protegiendo cualquier información que conlleve a un riesgo grave, del personal adscrito a la Coordinación de la Unidad de estudios Superiores de adultos mayores, del Coordinador administrativo y del Personal Docente que imparte cátedra en la Unidad de Estudios Superiores de Adultos Mayores de Ecatepec; el documento o documentos en donde conste el número de cédula profesional así como el título de los servidores antes referidos. </w:t>
      </w:r>
    </w:p>
    <w:p w:rsidR="005823DB" w:rsidRPr="005823DB" w:rsidRDefault="005823DB" w:rsidP="005823DB">
      <w:pPr>
        <w:spacing w:before="240" w:after="240" w:line="360" w:lineRule="auto"/>
        <w:ind w:left="851" w:right="567"/>
        <w:contextualSpacing/>
        <w:jc w:val="both"/>
        <w:rPr>
          <w:rFonts w:ascii="Palatino Linotype" w:hAnsi="Palatino Linotype" w:cs="Arial"/>
          <w:i/>
          <w:szCs w:val="24"/>
        </w:rPr>
      </w:pPr>
    </w:p>
    <w:p w:rsidR="005823DB" w:rsidRPr="005823DB" w:rsidRDefault="005823DB" w:rsidP="005823DB">
      <w:pPr>
        <w:spacing w:before="240" w:after="240" w:line="360" w:lineRule="auto"/>
        <w:ind w:left="851" w:right="567"/>
        <w:contextualSpacing/>
        <w:jc w:val="both"/>
        <w:rPr>
          <w:rFonts w:ascii="Palatino Linotype" w:hAnsi="Palatino Linotype" w:cs="Arial"/>
          <w:i/>
          <w:szCs w:val="24"/>
        </w:rPr>
      </w:pPr>
      <w:r w:rsidRPr="005823DB">
        <w:rPr>
          <w:rFonts w:ascii="Palatino Linotype" w:hAnsi="Palatino Linotype" w:cs="Arial"/>
          <w:i/>
          <w:szCs w:val="24"/>
        </w:rPr>
        <w:t>Para el caso de que no obre en sus archivos el título o los documentos en donde conste el número de cédula profesional de alguno de los servidores públicos referidos, deberá hacerlo del conocimiento de LA RECURRENTE.</w:t>
      </w:r>
    </w:p>
    <w:p w:rsidR="005823DB" w:rsidRPr="005823DB" w:rsidRDefault="005823DB" w:rsidP="005823DB">
      <w:pPr>
        <w:spacing w:before="240" w:after="240" w:line="360" w:lineRule="auto"/>
        <w:ind w:left="851" w:right="567"/>
        <w:contextualSpacing/>
        <w:jc w:val="both"/>
        <w:rPr>
          <w:rFonts w:ascii="Palatino Linotype" w:hAnsi="Palatino Linotype" w:cs="Arial"/>
          <w:i/>
          <w:szCs w:val="24"/>
        </w:rPr>
      </w:pPr>
    </w:p>
    <w:p w:rsidR="005823DB" w:rsidRPr="005823DB" w:rsidRDefault="005823DB" w:rsidP="005823DB">
      <w:pPr>
        <w:spacing w:before="240" w:after="240" w:line="360" w:lineRule="auto"/>
        <w:ind w:left="851" w:right="567"/>
        <w:contextualSpacing/>
        <w:jc w:val="both"/>
        <w:rPr>
          <w:rFonts w:ascii="Palatino Linotype" w:hAnsi="Palatino Linotype" w:cs="Arial"/>
          <w:i/>
          <w:szCs w:val="24"/>
        </w:rPr>
      </w:pPr>
      <w:r w:rsidRPr="005823DB">
        <w:rPr>
          <w:rFonts w:ascii="Palatino Linotype" w:hAnsi="Palatino Linotype" w:cs="Arial"/>
          <w:i/>
          <w:szCs w:val="24"/>
        </w:rPr>
        <w:t>Debiendo notificar a LA RECURRENTE el Acuerdo de Clasificación que emita el Comité de Transparencia, con motivo de la versión pública.</w:t>
      </w:r>
    </w:p>
    <w:p w:rsidR="005823DB" w:rsidRPr="005823DB" w:rsidRDefault="005823DB" w:rsidP="005823DB">
      <w:pPr>
        <w:spacing w:before="240" w:after="240" w:line="360" w:lineRule="auto"/>
        <w:ind w:left="851" w:right="567"/>
        <w:contextualSpacing/>
        <w:jc w:val="both"/>
        <w:rPr>
          <w:rFonts w:ascii="Palatino Linotype" w:hAnsi="Palatino Linotype" w:cs="Arial"/>
          <w:i/>
          <w:szCs w:val="24"/>
        </w:rPr>
      </w:pPr>
    </w:p>
    <w:p w:rsidR="005823DB" w:rsidRPr="005823DB" w:rsidRDefault="005823DB" w:rsidP="005823DB">
      <w:pPr>
        <w:spacing w:before="240" w:after="240" w:line="360" w:lineRule="auto"/>
        <w:ind w:left="851" w:right="567"/>
        <w:contextualSpacing/>
        <w:jc w:val="both"/>
        <w:rPr>
          <w:rFonts w:ascii="Palatino Linotype" w:hAnsi="Palatino Linotype" w:cs="Arial"/>
          <w:i/>
          <w:szCs w:val="24"/>
        </w:rPr>
      </w:pPr>
      <w:r w:rsidRPr="005823DB">
        <w:rPr>
          <w:rFonts w:ascii="Palatino Linotype" w:hAnsi="Palatino Linotype" w:cs="Arial"/>
          <w:i/>
          <w:szCs w:val="24"/>
        </w:rPr>
        <w:t>Asimismo, deberá indicar a LA RECURRENTE el lugar, día y hora en que se podrá llevar a cabo dicha consulta, así como el nombre y cargo del servidor público que le permitirá el acceso.</w:t>
      </w:r>
      <w:r>
        <w:rPr>
          <w:rFonts w:ascii="Palatino Linotype" w:hAnsi="Palatino Linotype" w:cs="Arial"/>
          <w:i/>
          <w:szCs w:val="24"/>
        </w:rPr>
        <w:t>”</w:t>
      </w:r>
    </w:p>
    <w:p w:rsidR="00D034C2" w:rsidRPr="00D034C2" w:rsidRDefault="00D034C2" w:rsidP="00D034C2">
      <w:pPr>
        <w:pStyle w:val="Prrafodelista"/>
        <w:spacing w:line="360" w:lineRule="auto"/>
        <w:ind w:left="426" w:hanging="426"/>
        <w:rPr>
          <w:rFonts w:ascii="Palatino Linotype" w:hAnsi="Palatino Linotype" w:cs="Arial"/>
          <w:i/>
          <w:sz w:val="24"/>
          <w:szCs w:val="24"/>
        </w:rPr>
      </w:pPr>
    </w:p>
    <w:p w:rsidR="00D034C2" w:rsidRPr="00D034C2" w:rsidRDefault="005823DB" w:rsidP="00D034C2">
      <w:pPr>
        <w:numPr>
          <w:ilvl w:val="0"/>
          <w:numId w:val="3"/>
        </w:numPr>
        <w:spacing w:before="240" w:after="240" w:line="360" w:lineRule="auto"/>
        <w:ind w:left="426" w:hanging="426"/>
        <w:contextualSpacing/>
        <w:jc w:val="both"/>
        <w:rPr>
          <w:rFonts w:ascii="Palatino Linotype" w:hAnsi="Palatino Linotype" w:cs="Arial"/>
          <w:sz w:val="24"/>
          <w:szCs w:val="24"/>
        </w:rPr>
      </w:pPr>
      <w:r>
        <w:rPr>
          <w:rFonts w:ascii="Palatino Linotype" w:hAnsi="Palatino Linotype" w:cs="Arial"/>
          <w:sz w:val="24"/>
          <w:szCs w:val="24"/>
        </w:rPr>
        <w:t>Enunciado lo anterior, m</w:t>
      </w:r>
      <w:r w:rsidR="00D034C2" w:rsidRPr="00D034C2">
        <w:rPr>
          <w:rFonts w:ascii="Palatino Linotype" w:hAnsi="Palatino Linotype" w:cs="Arial"/>
          <w:sz w:val="24"/>
          <w:szCs w:val="24"/>
        </w:rPr>
        <w:t xml:space="preserve">i voto particular se deriva de un aspecto contenido en el Considerando </w:t>
      </w:r>
      <w:r>
        <w:rPr>
          <w:rFonts w:ascii="Palatino Linotype" w:hAnsi="Palatino Linotype" w:cs="Arial"/>
          <w:sz w:val="24"/>
          <w:szCs w:val="24"/>
        </w:rPr>
        <w:t>Quinto</w:t>
      </w:r>
      <w:r w:rsidR="00D034C2" w:rsidRPr="00D034C2">
        <w:rPr>
          <w:rFonts w:ascii="Palatino Linotype" w:hAnsi="Palatino Linotype" w:cs="Arial"/>
          <w:sz w:val="24"/>
          <w:szCs w:val="24"/>
        </w:rPr>
        <w:t>, que determina ordenar</w:t>
      </w:r>
      <w:r w:rsidR="00230047">
        <w:rPr>
          <w:rFonts w:ascii="Palatino Linotype" w:hAnsi="Palatino Linotype" w:cs="Arial"/>
          <w:sz w:val="24"/>
          <w:szCs w:val="24"/>
        </w:rPr>
        <w:t xml:space="preserve"> la entrega de los títulos profesionales en versión pública testando fotografía y firmas, lo anterior en virtud de que el </w:t>
      </w:r>
      <w:r w:rsidR="00230047">
        <w:rPr>
          <w:rFonts w:ascii="Palatino Linotype" w:hAnsi="Palatino Linotype" w:cs="Arial"/>
          <w:b/>
          <w:sz w:val="24"/>
          <w:szCs w:val="24"/>
        </w:rPr>
        <w:t>SUJETO OBLIGADO</w:t>
      </w:r>
      <w:r w:rsidR="00230047">
        <w:rPr>
          <w:rFonts w:ascii="Palatino Linotype" w:hAnsi="Palatino Linotype" w:cs="Arial"/>
          <w:sz w:val="24"/>
          <w:szCs w:val="24"/>
        </w:rPr>
        <w:t xml:space="preserve"> entregó mediante su informe justificado copia de los títulos y cédulas profesionales sin haber hecho, a decir de la Ponencia Resolutora, una adecuada versión pública de los documentos referidos.</w:t>
      </w:r>
    </w:p>
    <w:p w:rsidR="00D034C2" w:rsidRPr="00D034C2" w:rsidRDefault="00D034C2" w:rsidP="00D034C2">
      <w:pPr>
        <w:spacing w:before="240" w:after="240" w:line="360" w:lineRule="auto"/>
        <w:ind w:left="426" w:hanging="426"/>
        <w:contextualSpacing/>
        <w:jc w:val="both"/>
        <w:rPr>
          <w:rFonts w:ascii="Palatino Linotype" w:hAnsi="Palatino Linotype" w:cs="Arial"/>
          <w:sz w:val="24"/>
          <w:szCs w:val="24"/>
        </w:rPr>
      </w:pPr>
    </w:p>
    <w:p w:rsidR="00D034C2" w:rsidRPr="00D034C2" w:rsidRDefault="00D034C2" w:rsidP="00D034C2">
      <w:pPr>
        <w:numPr>
          <w:ilvl w:val="0"/>
          <w:numId w:val="3"/>
        </w:numPr>
        <w:spacing w:before="240" w:after="24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D034C2" w:rsidRPr="00D034C2" w:rsidRDefault="00D034C2" w:rsidP="00D034C2">
      <w:pPr>
        <w:pStyle w:val="Ttulo1"/>
        <w:numPr>
          <w:ilvl w:val="0"/>
          <w:numId w:val="24"/>
        </w:numPr>
        <w:rPr>
          <w:rFonts w:ascii="Palatino Linotype" w:hAnsi="Palatino Linotype"/>
          <w:b/>
          <w:color w:val="auto"/>
          <w:sz w:val="24"/>
          <w:szCs w:val="24"/>
        </w:rPr>
      </w:pPr>
      <w:bookmarkStart w:id="2" w:name="_Toc522534819"/>
      <w:r w:rsidRPr="00D034C2">
        <w:rPr>
          <w:rFonts w:ascii="Palatino Linotype" w:hAnsi="Palatino Linotype"/>
          <w:b/>
          <w:color w:val="auto"/>
          <w:sz w:val="24"/>
          <w:szCs w:val="24"/>
        </w:rPr>
        <w:t>La naturaleza del Título Profesional.</w:t>
      </w:r>
      <w:bookmarkEnd w:id="2"/>
    </w:p>
    <w:p w:rsidR="00D034C2" w:rsidRPr="00D034C2" w:rsidRDefault="00D034C2" w:rsidP="00D034C2">
      <w:pPr>
        <w:spacing w:after="0" w:line="360" w:lineRule="auto"/>
        <w:ind w:left="426" w:hanging="426"/>
        <w:contextualSpacing/>
        <w:jc w:val="both"/>
        <w:rPr>
          <w:rFonts w:ascii="Palatino Linotype" w:hAnsi="Palatino Linotype" w:cs="Arial"/>
          <w:b/>
          <w:sz w:val="24"/>
          <w:szCs w:val="24"/>
        </w:rPr>
      </w:pPr>
    </w:p>
    <w:p w:rsidR="00D034C2" w:rsidRPr="00D034C2" w:rsidRDefault="00D034C2" w:rsidP="00D034C2">
      <w:pPr>
        <w:pStyle w:val="Ttulo2"/>
        <w:numPr>
          <w:ilvl w:val="0"/>
          <w:numId w:val="22"/>
        </w:numPr>
        <w:rPr>
          <w:rFonts w:ascii="Palatino Linotype" w:hAnsi="Palatino Linotype"/>
          <w:b/>
          <w:color w:val="auto"/>
          <w:sz w:val="24"/>
          <w:szCs w:val="24"/>
        </w:rPr>
      </w:pPr>
      <w:bookmarkStart w:id="3" w:name="_Toc522534820"/>
      <w:r w:rsidRPr="00D034C2">
        <w:rPr>
          <w:rFonts w:ascii="Palatino Linotype" w:hAnsi="Palatino Linotype"/>
          <w:b/>
          <w:color w:val="auto"/>
          <w:sz w:val="24"/>
          <w:szCs w:val="24"/>
        </w:rPr>
        <w:t>El Título Profesional:</w:t>
      </w:r>
      <w:bookmarkEnd w:id="3"/>
    </w:p>
    <w:p w:rsidR="00D034C2" w:rsidRPr="00D034C2" w:rsidRDefault="00D034C2" w:rsidP="00D034C2">
      <w:pPr>
        <w:spacing w:after="0" w:line="360" w:lineRule="auto"/>
        <w:ind w:left="426" w:hanging="426"/>
        <w:contextualSpacing/>
        <w:jc w:val="both"/>
        <w:rPr>
          <w:rFonts w:ascii="Palatino Linotype" w:hAnsi="Palatino Linotype" w:cs="Arial"/>
          <w:b/>
          <w:sz w:val="24"/>
          <w:szCs w:val="24"/>
        </w:rPr>
      </w:pPr>
    </w:p>
    <w:p w:rsidR="00D034C2" w:rsidRPr="00D034C2" w:rsidRDefault="00D034C2" w:rsidP="00D034C2">
      <w:pPr>
        <w:numPr>
          <w:ilvl w:val="0"/>
          <w:numId w:val="3"/>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 xml:space="preserve">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w:t>
      </w:r>
      <w:r w:rsidRPr="00D034C2">
        <w:rPr>
          <w:rFonts w:ascii="Palatino Linotype" w:hAnsi="Palatino Linotype" w:cs="Arial"/>
          <w:sz w:val="24"/>
          <w:szCs w:val="24"/>
        </w:rPr>
        <w:lastRenderedPageBreak/>
        <w:t>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D034C2" w:rsidRPr="00D034C2" w:rsidRDefault="00D034C2" w:rsidP="00D034C2">
      <w:pPr>
        <w:spacing w:after="0" w:line="360" w:lineRule="auto"/>
        <w:ind w:left="426" w:hanging="426"/>
        <w:contextualSpacing/>
        <w:jc w:val="both"/>
        <w:rPr>
          <w:rFonts w:ascii="Palatino Linotype" w:hAnsi="Palatino Linotype" w:cs="Arial"/>
          <w:sz w:val="24"/>
          <w:szCs w:val="24"/>
        </w:rPr>
      </w:pPr>
    </w:p>
    <w:p w:rsidR="00D034C2" w:rsidRPr="00D034C2" w:rsidRDefault="00D034C2" w:rsidP="00D034C2">
      <w:pPr>
        <w:numPr>
          <w:ilvl w:val="0"/>
          <w:numId w:val="3"/>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En este sentido, el artículo 11 de la ley señalada establece los requisitos que debe reunir el título profesional, entre los cuales se incluye el retrato del interesado como elemento indispensable de identidad de la persona a quien se le expide.</w:t>
      </w:r>
    </w:p>
    <w:p w:rsidR="00D034C2" w:rsidRPr="00D034C2" w:rsidRDefault="00D034C2" w:rsidP="00D034C2">
      <w:pPr>
        <w:pStyle w:val="Ttulo1"/>
        <w:numPr>
          <w:ilvl w:val="0"/>
          <w:numId w:val="24"/>
        </w:numPr>
        <w:rPr>
          <w:rFonts w:ascii="Palatino Linotype" w:hAnsi="Palatino Linotype" w:cs="Arial"/>
          <w:b/>
          <w:color w:val="auto"/>
          <w:sz w:val="24"/>
          <w:szCs w:val="24"/>
        </w:rPr>
      </w:pPr>
      <w:bookmarkStart w:id="4" w:name="_Toc522534821"/>
      <w:r w:rsidRPr="00D034C2">
        <w:rPr>
          <w:rFonts w:ascii="Palatino Linotype" w:hAnsi="Palatino Linotype"/>
          <w:b/>
          <w:color w:val="auto"/>
          <w:sz w:val="24"/>
          <w:szCs w:val="24"/>
        </w:rPr>
        <w:t>La naturaleza de la función pública que se desempeña</w:t>
      </w:r>
      <w:r w:rsidRPr="00D034C2">
        <w:rPr>
          <w:rFonts w:ascii="Palatino Linotype" w:hAnsi="Palatino Linotype" w:cs="Arial"/>
          <w:b/>
          <w:color w:val="auto"/>
          <w:sz w:val="24"/>
          <w:szCs w:val="24"/>
        </w:rPr>
        <w:t>.</w:t>
      </w:r>
      <w:bookmarkEnd w:id="4"/>
    </w:p>
    <w:p w:rsidR="00D034C2" w:rsidRPr="00D034C2" w:rsidRDefault="00D034C2" w:rsidP="00D034C2">
      <w:pPr>
        <w:spacing w:after="0" w:line="360" w:lineRule="auto"/>
        <w:ind w:left="426" w:hanging="426"/>
        <w:contextualSpacing/>
        <w:jc w:val="both"/>
        <w:rPr>
          <w:rFonts w:ascii="Palatino Linotype" w:hAnsi="Palatino Linotype" w:cs="Arial"/>
          <w:i/>
          <w:sz w:val="24"/>
          <w:szCs w:val="24"/>
        </w:rPr>
      </w:pPr>
    </w:p>
    <w:p w:rsidR="00D034C2" w:rsidRPr="00D034C2" w:rsidRDefault="00D034C2" w:rsidP="00230047">
      <w:pPr>
        <w:numPr>
          <w:ilvl w:val="0"/>
          <w:numId w:val="3"/>
        </w:numPr>
        <w:spacing w:after="0" w:line="360" w:lineRule="auto"/>
        <w:contextualSpacing/>
        <w:jc w:val="both"/>
        <w:rPr>
          <w:rFonts w:ascii="Palatino Linotype" w:hAnsi="Palatino Linotype" w:cs="Arial"/>
          <w:i/>
          <w:sz w:val="24"/>
          <w:szCs w:val="24"/>
        </w:rPr>
      </w:pPr>
      <w:r w:rsidRPr="00D034C2">
        <w:rPr>
          <w:rFonts w:ascii="Palatino Linotype" w:hAnsi="Palatino Linotype" w:cs="Arial"/>
          <w:sz w:val="24"/>
          <w:szCs w:val="24"/>
        </w:rPr>
        <w:t xml:space="preserve">En el caso en estudio, entre la información que solicitó </w:t>
      </w:r>
      <w:r w:rsidR="000A3201">
        <w:rPr>
          <w:rFonts w:ascii="Palatino Linotype" w:hAnsi="Palatino Linotype" w:cs="Arial"/>
          <w:b/>
          <w:sz w:val="24"/>
          <w:szCs w:val="24"/>
        </w:rPr>
        <w:t>xxxxx</w:t>
      </w:r>
      <w:r w:rsidRPr="00D034C2">
        <w:rPr>
          <w:rFonts w:ascii="Palatino Linotype" w:hAnsi="Palatino Linotype" w:cs="Arial"/>
          <w:sz w:val="24"/>
          <w:szCs w:val="24"/>
        </w:rPr>
        <w:t xml:space="preserve">, se encuentra el título </w:t>
      </w:r>
      <w:r w:rsidR="00230047">
        <w:rPr>
          <w:rFonts w:ascii="Palatino Linotype" w:hAnsi="Palatino Linotype" w:cs="Arial"/>
          <w:sz w:val="24"/>
          <w:szCs w:val="24"/>
        </w:rPr>
        <w:t xml:space="preserve">y número de cédula </w:t>
      </w:r>
      <w:r w:rsidRPr="00D034C2">
        <w:rPr>
          <w:rFonts w:ascii="Palatino Linotype" w:hAnsi="Palatino Linotype" w:cs="Arial"/>
          <w:sz w:val="24"/>
          <w:szCs w:val="24"/>
        </w:rPr>
        <w:t>profesional de diversos servidores públicos,</w:t>
      </w:r>
      <w:r>
        <w:rPr>
          <w:rFonts w:ascii="Palatino Linotype" w:hAnsi="Palatino Linotype" w:cs="Arial"/>
          <w:sz w:val="24"/>
          <w:szCs w:val="24"/>
        </w:rPr>
        <w:t xml:space="preserve"> para lo cual el </w:t>
      </w:r>
      <w:r w:rsidR="00230047" w:rsidRPr="00230047">
        <w:rPr>
          <w:rFonts w:ascii="Palatino Linotype" w:hAnsi="Palatino Linotype" w:cs="Arial"/>
          <w:b/>
          <w:sz w:val="24"/>
          <w:szCs w:val="24"/>
        </w:rPr>
        <w:t>SUJETO OBLIGADO</w:t>
      </w:r>
      <w:r>
        <w:rPr>
          <w:rFonts w:ascii="Palatino Linotype" w:hAnsi="Palatino Linotype" w:cs="Arial"/>
          <w:sz w:val="24"/>
          <w:szCs w:val="24"/>
        </w:rPr>
        <w:t xml:space="preserve"> en respuesta sobre ese punto de la solicitud, se limitó a entregar solamente un</w:t>
      </w:r>
      <w:r w:rsidR="00230047">
        <w:rPr>
          <w:rFonts w:ascii="Palatino Linotype" w:hAnsi="Palatino Linotype" w:cs="Arial"/>
          <w:sz w:val="24"/>
          <w:szCs w:val="24"/>
        </w:rPr>
        <w:t>a</w:t>
      </w:r>
      <w:r>
        <w:rPr>
          <w:rFonts w:ascii="Palatino Linotype" w:hAnsi="Palatino Linotype" w:cs="Arial"/>
          <w:sz w:val="24"/>
          <w:szCs w:val="24"/>
        </w:rPr>
        <w:t xml:space="preserve"> </w:t>
      </w:r>
      <w:r w:rsidR="00230047">
        <w:rPr>
          <w:rFonts w:ascii="Palatino Linotype" w:hAnsi="Palatino Linotype" w:cs="Arial"/>
          <w:sz w:val="24"/>
          <w:szCs w:val="24"/>
        </w:rPr>
        <w:t>cédula profesional</w:t>
      </w:r>
      <w:r>
        <w:rPr>
          <w:rFonts w:ascii="Palatino Linotype" w:hAnsi="Palatino Linotype" w:cs="Arial"/>
          <w:sz w:val="24"/>
          <w:szCs w:val="24"/>
        </w:rPr>
        <w:t xml:space="preserve"> que corresponde a una servidora público</w:t>
      </w:r>
      <w:r w:rsidR="00230047">
        <w:rPr>
          <w:rFonts w:ascii="Palatino Linotype" w:hAnsi="Palatino Linotype" w:cs="Arial"/>
          <w:sz w:val="24"/>
          <w:szCs w:val="24"/>
        </w:rPr>
        <w:t xml:space="preserve"> y diversas fichas curriculares con formato de control interno de la Universidad Mexiquense del Bicentenario</w:t>
      </w:r>
      <w:r>
        <w:rPr>
          <w:rFonts w:ascii="Palatino Linotype" w:hAnsi="Palatino Linotype" w:cs="Arial"/>
          <w:sz w:val="24"/>
          <w:szCs w:val="24"/>
        </w:rPr>
        <w:t>.</w:t>
      </w:r>
    </w:p>
    <w:p w:rsidR="00D034C2" w:rsidRPr="00D034C2" w:rsidRDefault="00D034C2" w:rsidP="00D034C2">
      <w:pPr>
        <w:spacing w:after="0" w:line="360" w:lineRule="auto"/>
        <w:ind w:left="426"/>
        <w:contextualSpacing/>
        <w:jc w:val="both"/>
        <w:rPr>
          <w:rFonts w:ascii="Palatino Linotype" w:hAnsi="Palatino Linotype" w:cs="Arial"/>
          <w:i/>
          <w:sz w:val="24"/>
          <w:szCs w:val="24"/>
        </w:rPr>
      </w:pPr>
    </w:p>
    <w:p w:rsidR="00D034C2" w:rsidRDefault="00D034C2" w:rsidP="002C2B70">
      <w:pPr>
        <w:numPr>
          <w:ilvl w:val="0"/>
          <w:numId w:val="3"/>
        </w:numPr>
        <w:spacing w:after="0" w:line="360" w:lineRule="auto"/>
        <w:ind w:left="426" w:hanging="426"/>
        <w:contextualSpacing/>
        <w:jc w:val="both"/>
        <w:rPr>
          <w:rFonts w:ascii="Palatino Linotype" w:hAnsi="Palatino Linotype" w:cs="Arial"/>
          <w:sz w:val="24"/>
          <w:szCs w:val="24"/>
        </w:rPr>
      </w:pPr>
      <w:r w:rsidRPr="00226D56">
        <w:rPr>
          <w:rFonts w:ascii="Palatino Linotype" w:hAnsi="Palatino Linotype" w:cs="Arial"/>
          <w:sz w:val="24"/>
          <w:szCs w:val="24"/>
        </w:rPr>
        <w:t xml:space="preserve">En este sentido, coincidiendo en todas las partes en las que fue planteada y resuelta la resolución, </w:t>
      </w:r>
      <w:r w:rsidR="00226D56" w:rsidRPr="00226D56">
        <w:rPr>
          <w:rFonts w:ascii="Palatino Linotype" w:hAnsi="Palatino Linotype" w:cs="Arial"/>
          <w:sz w:val="24"/>
          <w:szCs w:val="24"/>
        </w:rPr>
        <w:t xml:space="preserve">no comparto que se haya </w:t>
      </w:r>
      <w:r w:rsidR="00230047">
        <w:rPr>
          <w:rFonts w:ascii="Palatino Linotype" w:hAnsi="Palatino Linotype" w:cs="Arial"/>
          <w:sz w:val="24"/>
          <w:szCs w:val="24"/>
        </w:rPr>
        <w:t xml:space="preserve">negado la vista al documento remitido por el </w:t>
      </w:r>
      <w:r w:rsidR="00230047">
        <w:rPr>
          <w:rFonts w:ascii="Palatino Linotype" w:hAnsi="Palatino Linotype" w:cs="Arial"/>
          <w:b/>
          <w:sz w:val="24"/>
          <w:szCs w:val="24"/>
        </w:rPr>
        <w:t>SUJETO OBLIGADO</w:t>
      </w:r>
      <w:r w:rsidR="00230047">
        <w:rPr>
          <w:rFonts w:ascii="Palatino Linotype" w:hAnsi="Palatino Linotype" w:cs="Arial"/>
          <w:sz w:val="24"/>
          <w:szCs w:val="24"/>
        </w:rPr>
        <w:t xml:space="preserve"> dentro del apartado de Manifestaciones </w:t>
      </w:r>
      <w:r w:rsidR="00230047">
        <w:rPr>
          <w:rFonts w:ascii="Palatino Linotype" w:hAnsi="Palatino Linotype" w:cs="Arial"/>
          <w:sz w:val="24"/>
          <w:szCs w:val="24"/>
        </w:rPr>
        <w:lastRenderedPageBreak/>
        <w:t xml:space="preserve">del </w:t>
      </w:r>
      <w:r w:rsidR="00230047">
        <w:rPr>
          <w:rFonts w:ascii="Palatino Linotype" w:hAnsi="Palatino Linotype" w:cs="Arial"/>
          <w:b/>
          <w:sz w:val="24"/>
          <w:szCs w:val="24"/>
        </w:rPr>
        <w:t>SAIMEX</w:t>
      </w:r>
      <w:r w:rsidR="00230047">
        <w:rPr>
          <w:rFonts w:ascii="Palatino Linotype" w:hAnsi="Palatino Linotype" w:cs="Arial"/>
          <w:sz w:val="24"/>
          <w:szCs w:val="24"/>
        </w:rPr>
        <w:t>, mediante el cual ofrece los títulos y cédulas profesionales de sus servidores públicos</w:t>
      </w:r>
      <w:r w:rsidR="00226D56" w:rsidRPr="00226D56">
        <w:rPr>
          <w:rFonts w:ascii="Palatino Linotype" w:hAnsi="Palatino Linotype" w:cs="Arial"/>
          <w:sz w:val="24"/>
          <w:szCs w:val="24"/>
        </w:rPr>
        <w:t xml:space="preserve">, ordenando </w:t>
      </w:r>
      <w:r w:rsidR="00A5622E">
        <w:rPr>
          <w:rFonts w:ascii="Palatino Linotype" w:hAnsi="Palatino Linotype" w:cs="Arial"/>
          <w:sz w:val="24"/>
          <w:szCs w:val="24"/>
        </w:rPr>
        <w:t>entregar el documento en cuestión testado en los rubros de las fotografías y firmas junto con</w:t>
      </w:r>
      <w:r w:rsidR="00226D56" w:rsidRPr="00226D56">
        <w:rPr>
          <w:rFonts w:ascii="Palatino Linotype" w:hAnsi="Palatino Linotype" w:cs="Arial"/>
          <w:sz w:val="24"/>
          <w:szCs w:val="24"/>
        </w:rPr>
        <w:t xml:space="preserve"> el acuerdo del Comité de Transparencia que </w:t>
      </w:r>
      <w:r w:rsidR="00A5622E">
        <w:rPr>
          <w:rFonts w:ascii="Palatino Linotype" w:hAnsi="Palatino Linotype" w:cs="Arial"/>
          <w:sz w:val="24"/>
          <w:szCs w:val="24"/>
        </w:rPr>
        <w:t>avale la versión pública.</w:t>
      </w:r>
    </w:p>
    <w:p w:rsidR="00226D56" w:rsidRDefault="00226D56" w:rsidP="00226D56">
      <w:pPr>
        <w:pStyle w:val="Prrafodelista"/>
        <w:rPr>
          <w:rFonts w:ascii="Palatino Linotype" w:hAnsi="Palatino Linotype" w:cs="Arial"/>
          <w:sz w:val="24"/>
          <w:szCs w:val="24"/>
        </w:rPr>
      </w:pPr>
    </w:p>
    <w:p w:rsidR="00226D56" w:rsidRPr="00226D56" w:rsidRDefault="00226D56" w:rsidP="00226D56">
      <w:pPr>
        <w:spacing w:after="0" w:line="360" w:lineRule="auto"/>
        <w:ind w:left="426"/>
        <w:contextualSpacing/>
        <w:jc w:val="both"/>
        <w:rPr>
          <w:rFonts w:ascii="Palatino Linotype" w:hAnsi="Palatino Linotype" w:cs="Arial"/>
          <w:sz w:val="24"/>
          <w:szCs w:val="24"/>
        </w:rPr>
      </w:pPr>
    </w:p>
    <w:p w:rsidR="00D034C2" w:rsidRPr="00D034C2" w:rsidRDefault="00D034C2" w:rsidP="00D034C2">
      <w:pPr>
        <w:pStyle w:val="Ttulo1"/>
        <w:numPr>
          <w:ilvl w:val="0"/>
          <w:numId w:val="24"/>
        </w:numPr>
        <w:rPr>
          <w:rFonts w:ascii="Palatino Linotype" w:hAnsi="Palatino Linotype" w:cs="Arial"/>
          <w:b/>
          <w:color w:val="auto"/>
          <w:sz w:val="24"/>
          <w:szCs w:val="24"/>
        </w:rPr>
      </w:pPr>
      <w:bookmarkStart w:id="5" w:name="_Toc522534822"/>
      <w:r w:rsidRPr="00D034C2">
        <w:rPr>
          <w:rFonts w:ascii="Palatino Linotype" w:hAnsi="Palatino Linotype"/>
          <w:b/>
          <w:color w:val="auto"/>
          <w:sz w:val="24"/>
          <w:szCs w:val="24"/>
        </w:rPr>
        <w:t>Acceso a la información versus protección de datos personales</w:t>
      </w:r>
      <w:r w:rsidRPr="00D034C2">
        <w:rPr>
          <w:rFonts w:ascii="Palatino Linotype" w:hAnsi="Palatino Linotype" w:cs="Arial"/>
          <w:b/>
          <w:color w:val="auto"/>
          <w:sz w:val="24"/>
          <w:szCs w:val="24"/>
        </w:rPr>
        <w:t>.</w:t>
      </w:r>
      <w:bookmarkEnd w:id="5"/>
    </w:p>
    <w:p w:rsidR="00D034C2" w:rsidRPr="00D034C2" w:rsidRDefault="00D034C2" w:rsidP="00D034C2">
      <w:pPr>
        <w:spacing w:after="0" w:line="360" w:lineRule="auto"/>
        <w:ind w:left="426" w:hanging="426"/>
        <w:contextualSpacing/>
        <w:jc w:val="both"/>
        <w:rPr>
          <w:rFonts w:ascii="Palatino Linotype" w:hAnsi="Palatino Linotype" w:cs="Arial"/>
          <w:b/>
          <w:sz w:val="24"/>
          <w:szCs w:val="24"/>
        </w:rPr>
      </w:pPr>
    </w:p>
    <w:p w:rsidR="00D034C2" w:rsidRPr="00D034C2" w:rsidRDefault="00226D56" w:rsidP="00D034C2">
      <w:pPr>
        <w:numPr>
          <w:ilvl w:val="0"/>
          <w:numId w:val="3"/>
        </w:numPr>
        <w:spacing w:after="0" w:line="360" w:lineRule="auto"/>
        <w:ind w:left="426" w:hanging="426"/>
        <w:contextualSpacing/>
        <w:jc w:val="both"/>
        <w:rPr>
          <w:rFonts w:ascii="Palatino Linotype" w:hAnsi="Palatino Linotype" w:cs="Arial"/>
          <w:sz w:val="24"/>
          <w:szCs w:val="24"/>
        </w:rPr>
      </w:pPr>
      <w:r>
        <w:rPr>
          <w:rFonts w:ascii="Palatino Linotype" w:hAnsi="Palatino Linotype" w:cs="Arial"/>
          <w:sz w:val="24"/>
          <w:szCs w:val="24"/>
        </w:rPr>
        <w:t>Para que</w:t>
      </w:r>
      <w:r w:rsidR="00D034C2" w:rsidRPr="00D034C2">
        <w:rPr>
          <w:rFonts w:ascii="Palatino Linotype" w:hAnsi="Palatino Linotype" w:cs="Arial"/>
          <w:sz w:val="24"/>
          <w:szCs w:val="24"/>
        </w:rPr>
        <w:t xml:space="preserve"> quienes </w:t>
      </w:r>
      <w:r>
        <w:rPr>
          <w:rFonts w:ascii="Palatino Linotype" w:hAnsi="Palatino Linotype" w:cs="Arial"/>
          <w:sz w:val="24"/>
          <w:szCs w:val="24"/>
        </w:rPr>
        <w:t xml:space="preserve">se </w:t>
      </w:r>
      <w:r w:rsidR="00D034C2" w:rsidRPr="00D034C2">
        <w:rPr>
          <w:rFonts w:ascii="Palatino Linotype" w:hAnsi="Palatino Linotype" w:cs="Arial"/>
          <w:sz w:val="24"/>
          <w:szCs w:val="24"/>
        </w:rPr>
        <w:t xml:space="preserve">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D034C2" w:rsidRPr="00D034C2" w:rsidRDefault="00D034C2" w:rsidP="00D034C2">
      <w:pPr>
        <w:spacing w:after="0" w:line="360" w:lineRule="auto"/>
        <w:ind w:left="426" w:hanging="426"/>
        <w:contextualSpacing/>
        <w:jc w:val="both"/>
        <w:rPr>
          <w:rFonts w:ascii="Palatino Linotype" w:hAnsi="Palatino Linotype" w:cs="Arial"/>
          <w:sz w:val="24"/>
          <w:szCs w:val="24"/>
        </w:rPr>
      </w:pPr>
    </w:p>
    <w:p w:rsidR="00D034C2" w:rsidRPr="00D034C2" w:rsidRDefault="00D034C2" w:rsidP="00D034C2">
      <w:pPr>
        <w:numPr>
          <w:ilvl w:val="0"/>
          <w:numId w:val="3"/>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 xml:space="preserve">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w:t>
      </w:r>
      <w:r w:rsidRPr="00D034C2">
        <w:rPr>
          <w:rFonts w:ascii="Palatino Linotype" w:hAnsi="Palatino Linotype" w:cs="Arial"/>
          <w:sz w:val="24"/>
          <w:szCs w:val="24"/>
        </w:rPr>
        <w:lastRenderedPageBreak/>
        <w:t xml:space="preserve">desempeñarlos y así como la capacidad de  desarrollar las actividades y atribuciones que se deriven de este. Elementos indispensables y necesarios para que se encuentre en condiciones plenas de ejercer, de </w:t>
      </w:r>
      <w:r w:rsidR="00A5622E">
        <w:rPr>
          <w:rFonts w:ascii="Palatino Linotype" w:hAnsi="Palatino Linotype" w:cs="Arial"/>
          <w:sz w:val="24"/>
          <w:szCs w:val="24"/>
        </w:rPr>
        <w:t xml:space="preserve">manera informada, su derecho a </w:t>
      </w:r>
      <w:r w:rsidRPr="00D034C2">
        <w:rPr>
          <w:rFonts w:ascii="Palatino Linotype" w:hAnsi="Palatino Linotype" w:cs="Arial"/>
          <w:sz w:val="24"/>
          <w:szCs w:val="24"/>
        </w:rPr>
        <w:t>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D034C2" w:rsidRPr="00D034C2" w:rsidRDefault="00D034C2" w:rsidP="00D034C2">
      <w:pPr>
        <w:spacing w:line="360" w:lineRule="auto"/>
        <w:ind w:left="426" w:hanging="426"/>
        <w:contextualSpacing/>
        <w:rPr>
          <w:rFonts w:ascii="Palatino Linotype" w:hAnsi="Palatino Linotype" w:cs="Arial"/>
          <w:sz w:val="24"/>
          <w:szCs w:val="24"/>
        </w:rPr>
      </w:pPr>
    </w:p>
    <w:p w:rsidR="00D034C2" w:rsidRPr="00D034C2" w:rsidRDefault="00D034C2" w:rsidP="00D034C2">
      <w:pPr>
        <w:numPr>
          <w:ilvl w:val="0"/>
          <w:numId w:val="3"/>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D034C2" w:rsidRPr="00D034C2" w:rsidRDefault="00D034C2" w:rsidP="00D034C2">
      <w:pPr>
        <w:spacing w:line="360" w:lineRule="auto"/>
        <w:ind w:left="426" w:hanging="426"/>
        <w:contextualSpacing/>
        <w:rPr>
          <w:rFonts w:ascii="Palatino Linotype" w:hAnsi="Palatino Linotype" w:cs="Arial"/>
          <w:sz w:val="24"/>
          <w:szCs w:val="24"/>
        </w:rPr>
      </w:pPr>
    </w:p>
    <w:p w:rsidR="00D034C2" w:rsidRPr="00D034C2" w:rsidRDefault="00D034C2" w:rsidP="00D034C2">
      <w:pPr>
        <w:numPr>
          <w:ilvl w:val="0"/>
          <w:numId w:val="3"/>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 xml:space="preserve">Suponiendo sin conceder, que se trate de una probable colisión de derechos entre el de acceso a la información, del particular y el de protección de datos personales del servidor público, es necesario destacar que ambos cuentan con el </w:t>
      </w:r>
      <w:r w:rsidRPr="00D034C2">
        <w:rPr>
          <w:rFonts w:ascii="Palatino Linotype" w:hAnsi="Palatino Linotype" w:cs="Arial"/>
          <w:sz w:val="24"/>
          <w:szCs w:val="24"/>
        </w:rPr>
        <w:lastRenderedPageBreak/>
        <w:t>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D034C2" w:rsidRPr="00D034C2" w:rsidRDefault="00D034C2" w:rsidP="00D034C2">
      <w:pPr>
        <w:spacing w:line="360" w:lineRule="auto"/>
        <w:ind w:left="426" w:hanging="426"/>
        <w:contextualSpacing/>
        <w:rPr>
          <w:rFonts w:ascii="Palatino Linotype" w:hAnsi="Palatino Linotype" w:cs="Arial"/>
          <w:sz w:val="24"/>
          <w:szCs w:val="24"/>
        </w:rPr>
      </w:pPr>
    </w:p>
    <w:p w:rsidR="00D034C2" w:rsidRPr="00D034C2" w:rsidRDefault="00D034C2" w:rsidP="00D034C2">
      <w:pPr>
        <w:numPr>
          <w:ilvl w:val="0"/>
          <w:numId w:val="3"/>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D034C2" w:rsidRPr="00D034C2" w:rsidRDefault="00D034C2" w:rsidP="00D034C2">
      <w:pPr>
        <w:spacing w:after="0" w:line="360" w:lineRule="auto"/>
        <w:ind w:left="426" w:hanging="426"/>
        <w:contextualSpacing/>
        <w:jc w:val="both"/>
        <w:rPr>
          <w:rFonts w:ascii="Palatino Linotype" w:hAnsi="Palatino Linotype" w:cs="Arial"/>
          <w:sz w:val="24"/>
          <w:szCs w:val="24"/>
        </w:rPr>
      </w:pPr>
    </w:p>
    <w:p w:rsidR="00D034C2" w:rsidRPr="00D034C2" w:rsidRDefault="00D034C2" w:rsidP="00D034C2">
      <w:pPr>
        <w:pStyle w:val="Ttulo2"/>
        <w:numPr>
          <w:ilvl w:val="0"/>
          <w:numId w:val="23"/>
        </w:numPr>
        <w:rPr>
          <w:rFonts w:ascii="Palatino Linotype" w:hAnsi="Palatino Linotype"/>
          <w:b/>
          <w:color w:val="auto"/>
          <w:sz w:val="24"/>
          <w:szCs w:val="24"/>
        </w:rPr>
      </w:pPr>
      <w:bookmarkStart w:id="6" w:name="_Toc522534823"/>
      <w:r w:rsidRPr="00D034C2">
        <w:rPr>
          <w:rFonts w:ascii="Palatino Linotype" w:hAnsi="Palatino Linotype"/>
          <w:b/>
          <w:color w:val="auto"/>
          <w:sz w:val="24"/>
          <w:szCs w:val="24"/>
        </w:rPr>
        <w:t>Juicio de idoneidad.</w:t>
      </w:r>
      <w:bookmarkEnd w:id="6"/>
    </w:p>
    <w:p w:rsidR="00D034C2" w:rsidRPr="00D034C2" w:rsidRDefault="00D034C2" w:rsidP="00D034C2">
      <w:pPr>
        <w:pStyle w:val="Prrafodelista"/>
        <w:spacing w:line="360" w:lineRule="auto"/>
        <w:ind w:left="426" w:hanging="426"/>
        <w:rPr>
          <w:rFonts w:ascii="Palatino Linotype" w:hAnsi="Palatino Linotype" w:cs="Arial"/>
          <w:sz w:val="24"/>
          <w:szCs w:val="24"/>
        </w:rPr>
      </w:pPr>
    </w:p>
    <w:p w:rsidR="00D034C2" w:rsidRPr="00D034C2" w:rsidRDefault="00D034C2" w:rsidP="00D034C2">
      <w:pPr>
        <w:numPr>
          <w:ilvl w:val="0"/>
          <w:numId w:val="3"/>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El derecho de acceso a la información se plante</w:t>
      </w:r>
      <w:r w:rsidR="00A5622E">
        <w:rPr>
          <w:rFonts w:ascii="Palatino Linotype" w:hAnsi="Palatino Linotype" w:cs="Arial"/>
          <w:sz w:val="24"/>
          <w:szCs w:val="24"/>
        </w:rPr>
        <w:t xml:space="preserve">a a través de la solicitud de la </w:t>
      </w:r>
      <w:r w:rsidRPr="00D034C2">
        <w:rPr>
          <w:rFonts w:ascii="Palatino Linotype" w:hAnsi="Palatino Linotype" w:cs="Arial"/>
          <w:sz w:val="24"/>
          <w:szCs w:val="24"/>
        </w:rPr>
        <w:t xml:space="preserve">particular para obtener </w:t>
      </w:r>
      <w:r w:rsidR="00A5622E">
        <w:rPr>
          <w:rFonts w:ascii="Palatino Linotype" w:hAnsi="Palatino Linotype" w:cs="Arial"/>
          <w:sz w:val="24"/>
          <w:szCs w:val="24"/>
        </w:rPr>
        <w:t>documentos</w:t>
      </w:r>
      <w:r w:rsidRPr="00D034C2">
        <w:rPr>
          <w:rFonts w:ascii="Palatino Linotype" w:hAnsi="Palatino Linotype" w:cs="Arial"/>
          <w:sz w:val="24"/>
          <w:szCs w:val="24"/>
        </w:rPr>
        <w:t xml:space="preserve"> que acredite</w:t>
      </w:r>
      <w:r w:rsidR="00A5622E">
        <w:rPr>
          <w:rFonts w:ascii="Palatino Linotype" w:hAnsi="Palatino Linotype" w:cs="Arial"/>
          <w:sz w:val="24"/>
          <w:szCs w:val="24"/>
        </w:rPr>
        <w:t>n</w:t>
      </w:r>
      <w:r w:rsidRPr="00D034C2">
        <w:rPr>
          <w:rFonts w:ascii="Palatino Linotype" w:hAnsi="Palatino Linotype" w:cs="Arial"/>
          <w:sz w:val="24"/>
          <w:szCs w:val="24"/>
        </w:rPr>
        <w:t xml:space="preserve"> </w:t>
      </w:r>
      <w:r w:rsidR="00A5622E">
        <w:rPr>
          <w:rFonts w:ascii="Palatino Linotype" w:hAnsi="Palatino Linotype" w:cs="Arial"/>
          <w:sz w:val="24"/>
          <w:szCs w:val="24"/>
        </w:rPr>
        <w:t xml:space="preserve">currículo e historia </w:t>
      </w:r>
      <w:r w:rsidR="00A5622E">
        <w:rPr>
          <w:rFonts w:ascii="Palatino Linotype" w:hAnsi="Palatino Linotype" w:cs="Arial"/>
          <w:sz w:val="24"/>
          <w:szCs w:val="24"/>
        </w:rPr>
        <w:lastRenderedPageBreak/>
        <w:t>profesional de los servidores</w:t>
      </w:r>
      <w:r w:rsidRPr="00D034C2">
        <w:rPr>
          <w:rFonts w:ascii="Palatino Linotype" w:hAnsi="Palatino Linotype" w:cs="Arial"/>
          <w:sz w:val="24"/>
          <w:szCs w:val="24"/>
        </w:rPr>
        <w:t xml:space="preserve"> públicos</w:t>
      </w:r>
      <w:r w:rsidR="00A5622E">
        <w:rPr>
          <w:rFonts w:ascii="Palatino Linotype" w:hAnsi="Palatino Linotype" w:cs="Arial"/>
          <w:sz w:val="24"/>
          <w:szCs w:val="24"/>
        </w:rPr>
        <w:t xml:space="preserve"> adscritos a la Coordinación de la Unidad de Estudios Superiores de Adultos Mayores de Ecatepec (UESAME), el Coordinador Administrativo de la UESAME y el personal docente que imparte cátedra en la UESAME</w:t>
      </w:r>
      <w:r w:rsidRPr="00D034C2">
        <w:rPr>
          <w:rFonts w:ascii="Palatino Linotype" w:hAnsi="Palatino Linotype" w:cs="Arial"/>
          <w:sz w:val="24"/>
          <w:szCs w:val="24"/>
        </w:rPr>
        <w:t xml:space="preserve">, </w:t>
      </w:r>
      <w:r w:rsidR="00A5622E">
        <w:rPr>
          <w:rFonts w:ascii="Palatino Linotype" w:hAnsi="Palatino Linotype" w:cs="Arial"/>
          <w:sz w:val="24"/>
          <w:szCs w:val="24"/>
        </w:rPr>
        <w:t>incluyendo títulos y cédulas profesionales</w:t>
      </w:r>
      <w:r w:rsidRPr="00D034C2">
        <w:rPr>
          <w:rFonts w:ascii="Palatino Linotype" w:hAnsi="Palatino Linotype" w:cs="Arial"/>
          <w:sz w:val="24"/>
          <w:szCs w:val="24"/>
        </w:rPr>
        <w:t xml:space="preserve">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D034C2" w:rsidRPr="00D034C2" w:rsidRDefault="00D034C2" w:rsidP="00D034C2">
      <w:pPr>
        <w:pStyle w:val="Ttulo2"/>
        <w:numPr>
          <w:ilvl w:val="0"/>
          <w:numId w:val="23"/>
        </w:numPr>
        <w:rPr>
          <w:rFonts w:ascii="Palatino Linotype" w:hAnsi="Palatino Linotype"/>
          <w:b/>
          <w:color w:val="auto"/>
          <w:sz w:val="24"/>
          <w:szCs w:val="24"/>
        </w:rPr>
      </w:pPr>
      <w:bookmarkStart w:id="7" w:name="_Toc522534824"/>
      <w:r w:rsidRPr="00D034C2">
        <w:rPr>
          <w:rFonts w:ascii="Palatino Linotype" w:hAnsi="Palatino Linotype"/>
          <w:b/>
          <w:color w:val="auto"/>
          <w:sz w:val="24"/>
          <w:szCs w:val="24"/>
        </w:rPr>
        <w:t>Juicio de Necesidad.</w:t>
      </w:r>
      <w:bookmarkEnd w:id="7"/>
    </w:p>
    <w:p w:rsidR="00D034C2" w:rsidRPr="00D034C2" w:rsidRDefault="00D034C2" w:rsidP="00D034C2">
      <w:pPr>
        <w:keepNext/>
        <w:keepLines/>
        <w:spacing w:before="240" w:after="0" w:line="360" w:lineRule="auto"/>
        <w:ind w:left="426" w:hanging="426"/>
        <w:outlineLvl w:val="0"/>
        <w:rPr>
          <w:rFonts w:ascii="Palatino Linotype" w:eastAsiaTheme="majorEastAsia" w:hAnsi="Palatino Linotype" w:cstheme="majorBidi"/>
          <w:color w:val="2E74B5" w:themeColor="accent1" w:themeShade="BF"/>
          <w:sz w:val="24"/>
          <w:szCs w:val="24"/>
        </w:rPr>
      </w:pPr>
    </w:p>
    <w:p w:rsidR="00D034C2" w:rsidRPr="00D034C2" w:rsidRDefault="00D034C2" w:rsidP="00D034C2">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Para que el particular vea satisfecha su pretensión y su derecho sea respetado, es </w:t>
      </w:r>
      <w:r w:rsidRPr="00D034C2">
        <w:rPr>
          <w:rFonts w:ascii="Palatino Linotype" w:hAnsi="Palatino Linotype" w:cs="Arial"/>
          <w:b/>
          <w:sz w:val="24"/>
          <w:szCs w:val="24"/>
        </w:rPr>
        <w:t>necesario</w:t>
      </w:r>
      <w:r w:rsidRPr="00D034C2">
        <w:rPr>
          <w:rFonts w:ascii="Palatino Linotype" w:hAnsi="Palatino Linotype" w:cs="Arial"/>
          <w:sz w:val="24"/>
          <w:szCs w:val="24"/>
        </w:rPr>
        <w:t xml:space="preserve"> que acceda a</w:t>
      </w:r>
      <w:r w:rsidR="00A5622E">
        <w:rPr>
          <w:rFonts w:ascii="Palatino Linotype" w:hAnsi="Palatino Linotype" w:cs="Arial"/>
          <w:sz w:val="24"/>
          <w:szCs w:val="24"/>
        </w:rPr>
        <w:t xml:space="preserve"> </w:t>
      </w:r>
      <w:r w:rsidRPr="00D034C2">
        <w:rPr>
          <w:rFonts w:ascii="Palatino Linotype" w:hAnsi="Palatino Linotype" w:cs="Arial"/>
          <w:sz w:val="24"/>
          <w:szCs w:val="24"/>
        </w:rPr>
        <w:t>l</w:t>
      </w:r>
      <w:r w:rsidR="00A5622E">
        <w:rPr>
          <w:rFonts w:ascii="Palatino Linotype" w:hAnsi="Palatino Linotype" w:cs="Arial"/>
          <w:sz w:val="24"/>
          <w:szCs w:val="24"/>
        </w:rPr>
        <w:t>os</w:t>
      </w:r>
      <w:r w:rsidRPr="00D034C2">
        <w:rPr>
          <w:rFonts w:ascii="Palatino Linotype" w:hAnsi="Palatino Linotype" w:cs="Arial"/>
          <w:sz w:val="24"/>
          <w:szCs w:val="24"/>
        </w:rPr>
        <w:t xml:space="preserve"> documento</w:t>
      </w:r>
      <w:r w:rsidR="00A5622E">
        <w:rPr>
          <w:rFonts w:ascii="Palatino Linotype" w:hAnsi="Palatino Linotype" w:cs="Arial"/>
          <w:sz w:val="24"/>
          <w:szCs w:val="24"/>
        </w:rPr>
        <w:t>s</w:t>
      </w:r>
      <w:r w:rsidRPr="00D034C2">
        <w:rPr>
          <w:rFonts w:ascii="Palatino Linotype" w:hAnsi="Palatino Linotype" w:cs="Arial"/>
          <w:sz w:val="24"/>
          <w:szCs w:val="24"/>
        </w:rPr>
        <w:t xml:space="preserve"> que acredita</w:t>
      </w:r>
      <w:r w:rsidR="00A5622E">
        <w:rPr>
          <w:rFonts w:ascii="Palatino Linotype" w:hAnsi="Palatino Linotype" w:cs="Arial"/>
          <w:sz w:val="24"/>
          <w:szCs w:val="24"/>
        </w:rPr>
        <w:t>n</w:t>
      </w:r>
      <w:r w:rsidRPr="00D034C2">
        <w:rPr>
          <w:rFonts w:ascii="Palatino Linotype" w:hAnsi="Palatino Linotype" w:cs="Arial"/>
          <w:sz w:val="24"/>
          <w:szCs w:val="24"/>
        </w:rPr>
        <w:t xml:space="preserve"> el grado académico y a </w:t>
      </w:r>
      <w:r w:rsidRPr="00D034C2">
        <w:rPr>
          <w:rFonts w:ascii="Palatino Linotype" w:hAnsi="Palatino Linotype" w:cs="Arial"/>
          <w:sz w:val="24"/>
          <w:szCs w:val="24"/>
        </w:rPr>
        <w:lastRenderedPageBreak/>
        <w:t>todos los elementos que lo componen, el nombre asentado en el documento puede ser contrastado con cualquier otro documento en posesión de</w:t>
      </w:r>
      <w:r w:rsidR="00A5622E">
        <w:rPr>
          <w:rFonts w:ascii="Palatino Linotype" w:hAnsi="Palatino Linotype" w:cs="Arial"/>
          <w:sz w:val="24"/>
          <w:szCs w:val="24"/>
        </w:rPr>
        <w:t xml:space="preserve"> </w:t>
      </w:r>
      <w:r w:rsidRPr="00D034C2">
        <w:rPr>
          <w:rFonts w:ascii="Palatino Linotype" w:hAnsi="Palatino Linotype" w:cs="Arial"/>
          <w:sz w:val="24"/>
          <w:szCs w:val="24"/>
        </w:rPr>
        <w:t>l</w:t>
      </w:r>
      <w:r w:rsidR="00A5622E">
        <w:rPr>
          <w:rFonts w:ascii="Palatino Linotype" w:hAnsi="Palatino Linotype" w:cs="Arial"/>
          <w:sz w:val="24"/>
          <w:szCs w:val="24"/>
        </w:rPr>
        <w:t>a</w:t>
      </w:r>
      <w:r w:rsidRPr="00D034C2">
        <w:rPr>
          <w:rFonts w:ascii="Palatino Linotype" w:hAnsi="Palatino Linotype" w:cs="Arial"/>
          <w:sz w:val="24"/>
          <w:szCs w:val="24"/>
        </w:rPr>
        <w:t xml:space="preserve">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D034C2">
        <w:rPr>
          <w:rFonts w:ascii="Palatino Linotype" w:hAnsi="Palatino Linotype" w:cs="Arial"/>
          <w:b/>
          <w:sz w:val="24"/>
          <w:szCs w:val="24"/>
        </w:rPr>
        <w:t>necesario</w:t>
      </w:r>
      <w:r w:rsidRPr="00D034C2">
        <w:rPr>
          <w:rFonts w:ascii="Palatino Linotype" w:hAnsi="Palatino Linotype" w:cs="Arial"/>
          <w:sz w:val="24"/>
          <w:szCs w:val="24"/>
        </w:rPr>
        <w:t xml:space="preserve"> que se conserven en el documento que será entregado.</w:t>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D034C2" w:rsidRPr="00D034C2" w:rsidRDefault="00D034C2" w:rsidP="00D034C2">
      <w:pPr>
        <w:pStyle w:val="Ttulo2"/>
        <w:numPr>
          <w:ilvl w:val="0"/>
          <w:numId w:val="23"/>
        </w:numPr>
        <w:rPr>
          <w:rFonts w:ascii="Palatino Linotype" w:hAnsi="Palatino Linotype"/>
          <w:b/>
          <w:color w:val="auto"/>
          <w:sz w:val="24"/>
          <w:szCs w:val="24"/>
        </w:rPr>
      </w:pPr>
      <w:bookmarkStart w:id="8" w:name="_Toc522534825"/>
      <w:r w:rsidRPr="00D034C2">
        <w:rPr>
          <w:rFonts w:ascii="Palatino Linotype" w:hAnsi="Palatino Linotype"/>
          <w:b/>
          <w:color w:val="auto"/>
          <w:sz w:val="24"/>
          <w:szCs w:val="24"/>
        </w:rPr>
        <w:t>Juicio de estricta proporcionalidad.</w:t>
      </w:r>
      <w:bookmarkEnd w:id="8"/>
    </w:p>
    <w:p w:rsidR="00D034C2" w:rsidRPr="00D034C2" w:rsidRDefault="00D034C2" w:rsidP="00D034C2">
      <w:pPr>
        <w:keepNext/>
        <w:keepLines/>
        <w:spacing w:before="240" w:after="0" w:line="360" w:lineRule="auto"/>
        <w:ind w:left="426" w:hanging="426"/>
        <w:outlineLvl w:val="0"/>
        <w:rPr>
          <w:rFonts w:ascii="Palatino Linotype" w:eastAsiaTheme="majorEastAsia" w:hAnsi="Palatino Linotype" w:cstheme="majorBidi"/>
          <w:color w:val="2E74B5" w:themeColor="accent1" w:themeShade="BF"/>
          <w:sz w:val="24"/>
          <w:szCs w:val="24"/>
        </w:rPr>
      </w:pPr>
    </w:p>
    <w:p w:rsidR="00D034C2" w:rsidRPr="00D034C2" w:rsidRDefault="00D034C2" w:rsidP="00D034C2">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w:t>
      </w:r>
      <w:r w:rsidRPr="00D034C2">
        <w:rPr>
          <w:rFonts w:ascii="Palatino Linotype" w:hAnsi="Palatino Linotype" w:cs="Arial"/>
          <w:sz w:val="24"/>
          <w:szCs w:val="24"/>
        </w:rPr>
        <w:lastRenderedPageBreak/>
        <w:t>su expresión o sus ideas, y en este caso en particular para realizar el control popular de los actos de gobierno, es estrictamente necesario que acceda a los documentos que lo acrediten, los cuales se integra</w:t>
      </w:r>
      <w:r w:rsidR="00A5622E">
        <w:rPr>
          <w:rFonts w:ascii="Palatino Linotype" w:hAnsi="Palatino Linotype" w:cs="Arial"/>
          <w:sz w:val="24"/>
          <w:szCs w:val="24"/>
        </w:rPr>
        <w:t>n</w:t>
      </w:r>
      <w:r w:rsidRPr="00D034C2">
        <w:rPr>
          <w:rFonts w:ascii="Palatino Linotype" w:hAnsi="Palatino Linotype" w:cs="Arial"/>
          <w:sz w:val="24"/>
          <w:szCs w:val="24"/>
        </w:rPr>
        <w:t xml:space="preserve"> por una serie de elementos cuya concurrencia simultánea generan una certeza indu</w:t>
      </w:r>
      <w:r w:rsidR="00A5622E">
        <w:rPr>
          <w:rFonts w:ascii="Palatino Linotype" w:hAnsi="Palatino Linotype" w:cs="Arial"/>
          <w:sz w:val="24"/>
          <w:szCs w:val="24"/>
        </w:rPr>
        <w:t>dable. Por lo tanto, permitirle</w:t>
      </w:r>
      <w:r w:rsidRPr="00D034C2">
        <w:rPr>
          <w:rFonts w:ascii="Palatino Linotype" w:hAnsi="Palatino Linotype" w:cs="Arial"/>
          <w:sz w:val="24"/>
          <w:szCs w:val="24"/>
        </w:rPr>
        <w:t xml:space="preserv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D034C2" w:rsidRPr="00D034C2" w:rsidRDefault="00D034C2" w:rsidP="00D034C2">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En sentido contrario, testar la fotografía impide que l</w:t>
      </w:r>
      <w:r w:rsidR="00A5622E">
        <w:rPr>
          <w:rFonts w:ascii="Palatino Linotype" w:hAnsi="Palatino Linotype" w:cs="Arial"/>
          <w:sz w:val="24"/>
          <w:szCs w:val="24"/>
        </w:rPr>
        <w:t>a</w:t>
      </w:r>
      <w:r w:rsidRPr="00D034C2">
        <w:rPr>
          <w:rFonts w:ascii="Palatino Linotype" w:hAnsi="Palatino Linotype" w:cs="Arial"/>
          <w:sz w:val="24"/>
          <w:szCs w:val="24"/>
        </w:rPr>
        <w:t xml:space="preserve"> particular cuente con los elementos necesarios e indispensables para apreciar que las personas que ocupan dichos cargos corresponda con las señaladas como titulares de los documentos respectivos. </w:t>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226D56" w:rsidRPr="00226D56" w:rsidRDefault="00D034C2" w:rsidP="00226D56">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En consecuencia, es que resulta legítimo ordenar </w:t>
      </w:r>
      <w:r w:rsidR="00226D56">
        <w:rPr>
          <w:rFonts w:ascii="Palatino Linotype" w:hAnsi="Palatino Linotype" w:cs="Arial"/>
          <w:sz w:val="24"/>
          <w:szCs w:val="24"/>
        </w:rPr>
        <w:t>la entrega de</w:t>
      </w:r>
      <w:r w:rsidR="00A5622E">
        <w:rPr>
          <w:rFonts w:ascii="Palatino Linotype" w:hAnsi="Palatino Linotype" w:cs="Arial"/>
          <w:sz w:val="24"/>
          <w:szCs w:val="24"/>
        </w:rPr>
        <w:t xml:space="preserve"> </w:t>
      </w:r>
      <w:r w:rsidR="00226D56">
        <w:rPr>
          <w:rFonts w:ascii="Palatino Linotype" w:hAnsi="Palatino Linotype" w:cs="Arial"/>
          <w:sz w:val="24"/>
          <w:szCs w:val="24"/>
        </w:rPr>
        <w:t>l</w:t>
      </w:r>
      <w:r w:rsidR="00A5622E">
        <w:rPr>
          <w:rFonts w:ascii="Palatino Linotype" w:hAnsi="Palatino Linotype" w:cs="Arial"/>
          <w:sz w:val="24"/>
          <w:szCs w:val="24"/>
        </w:rPr>
        <w:t>os</w:t>
      </w:r>
      <w:r w:rsidR="00226D56">
        <w:rPr>
          <w:rFonts w:ascii="Palatino Linotype" w:hAnsi="Palatino Linotype" w:cs="Arial"/>
          <w:sz w:val="24"/>
          <w:szCs w:val="24"/>
        </w:rPr>
        <w:t xml:space="preserve"> </w:t>
      </w:r>
      <w:r w:rsidR="00A5622E">
        <w:rPr>
          <w:rFonts w:ascii="Palatino Linotype" w:hAnsi="Palatino Linotype" w:cs="Arial"/>
          <w:sz w:val="24"/>
          <w:szCs w:val="24"/>
        </w:rPr>
        <w:t xml:space="preserve">diversos </w:t>
      </w:r>
      <w:r w:rsidR="00226D56">
        <w:rPr>
          <w:rFonts w:ascii="Palatino Linotype" w:hAnsi="Palatino Linotype" w:cs="Arial"/>
          <w:sz w:val="24"/>
          <w:szCs w:val="24"/>
        </w:rPr>
        <w:t>título</w:t>
      </w:r>
      <w:r w:rsidR="00A5622E">
        <w:rPr>
          <w:rFonts w:ascii="Palatino Linotype" w:hAnsi="Palatino Linotype" w:cs="Arial"/>
          <w:sz w:val="24"/>
          <w:szCs w:val="24"/>
        </w:rPr>
        <w:t>s</w:t>
      </w:r>
      <w:r w:rsidR="00226D56">
        <w:rPr>
          <w:rFonts w:ascii="Palatino Linotype" w:hAnsi="Palatino Linotype" w:cs="Arial"/>
          <w:sz w:val="24"/>
          <w:szCs w:val="24"/>
        </w:rPr>
        <w:t xml:space="preserve"> profesional</w:t>
      </w:r>
      <w:r w:rsidR="00A5622E">
        <w:rPr>
          <w:rFonts w:ascii="Palatino Linotype" w:hAnsi="Palatino Linotype" w:cs="Arial"/>
          <w:sz w:val="24"/>
          <w:szCs w:val="24"/>
        </w:rPr>
        <w:t>es</w:t>
      </w:r>
      <w:r w:rsidR="00226D56">
        <w:rPr>
          <w:rFonts w:ascii="Palatino Linotype" w:hAnsi="Palatino Linotype" w:cs="Arial"/>
          <w:sz w:val="24"/>
          <w:szCs w:val="24"/>
        </w:rPr>
        <w:t xml:space="preserve"> de nueva cuenta, </w:t>
      </w:r>
      <w:r w:rsidRPr="00D034C2">
        <w:rPr>
          <w:rFonts w:ascii="Palatino Linotype" w:hAnsi="Palatino Linotype" w:cs="Arial"/>
          <w:sz w:val="24"/>
          <w:szCs w:val="24"/>
        </w:rPr>
        <w:t>sin que se ordene testar la</w:t>
      </w:r>
      <w:r w:rsidRPr="00D034C2">
        <w:rPr>
          <w:rFonts w:ascii="Palatino Linotype" w:hAnsi="Palatino Linotype" w:cs="Arial"/>
          <w:b/>
          <w:sz w:val="24"/>
          <w:szCs w:val="24"/>
          <w:u w:val="single"/>
        </w:rPr>
        <w:t xml:space="preserve"> fotografía</w:t>
      </w:r>
      <w:r w:rsidRPr="00D034C2">
        <w:rPr>
          <w:rFonts w:ascii="Palatino Linotype" w:hAnsi="Palatino Linotype" w:cs="Arial"/>
          <w:sz w:val="24"/>
          <w:szCs w:val="24"/>
        </w:rPr>
        <w:t>, con la finalidad de respetar plenamente el derecho de</w:t>
      </w:r>
      <w:r w:rsidR="00A5622E">
        <w:rPr>
          <w:rFonts w:ascii="Palatino Linotype" w:hAnsi="Palatino Linotype" w:cs="Arial"/>
          <w:sz w:val="24"/>
          <w:szCs w:val="24"/>
        </w:rPr>
        <w:t xml:space="preserve"> </w:t>
      </w:r>
      <w:r w:rsidR="00226D56">
        <w:rPr>
          <w:rFonts w:ascii="Palatino Linotype" w:hAnsi="Palatino Linotype" w:cs="Arial"/>
          <w:sz w:val="24"/>
          <w:szCs w:val="24"/>
        </w:rPr>
        <w:t>l</w:t>
      </w:r>
      <w:r w:rsidR="00A5622E">
        <w:rPr>
          <w:rFonts w:ascii="Palatino Linotype" w:hAnsi="Palatino Linotype" w:cs="Arial"/>
          <w:sz w:val="24"/>
          <w:szCs w:val="24"/>
        </w:rPr>
        <w:t>a</w:t>
      </w:r>
      <w:r w:rsidR="00226D56">
        <w:rPr>
          <w:rFonts w:ascii="Palatino Linotype" w:hAnsi="Palatino Linotype" w:cs="Arial"/>
          <w:sz w:val="24"/>
          <w:szCs w:val="24"/>
        </w:rPr>
        <w:t xml:space="preserve"> particular.</w:t>
      </w:r>
    </w:p>
    <w:p w:rsidR="00226D56" w:rsidRPr="00226D56" w:rsidRDefault="00226D56" w:rsidP="00226D56">
      <w:pPr>
        <w:pStyle w:val="Prrafodelista"/>
        <w:rPr>
          <w:rFonts w:ascii="Palatino Linotype" w:hAnsi="Palatino Linotype" w:cs="Arial"/>
          <w:sz w:val="24"/>
          <w:szCs w:val="24"/>
        </w:rPr>
      </w:pPr>
    </w:p>
    <w:p w:rsidR="00D034C2" w:rsidRDefault="00A5622E" w:rsidP="00C47046">
      <w:pPr>
        <w:pStyle w:val="Prrafodelista"/>
        <w:numPr>
          <w:ilvl w:val="0"/>
          <w:numId w:val="3"/>
        </w:numPr>
        <w:spacing w:after="0" w:line="360" w:lineRule="auto"/>
        <w:ind w:left="426"/>
        <w:jc w:val="both"/>
        <w:rPr>
          <w:rFonts w:ascii="Palatino Linotype" w:hAnsi="Palatino Linotype" w:cs="Arial"/>
          <w:sz w:val="24"/>
          <w:szCs w:val="24"/>
        </w:rPr>
      </w:pPr>
      <w:r>
        <w:rPr>
          <w:rFonts w:ascii="Palatino Linotype" w:hAnsi="Palatino Linotype" w:cs="Arial"/>
          <w:sz w:val="24"/>
          <w:szCs w:val="24"/>
        </w:rPr>
        <w:t>Apoya</w:t>
      </w:r>
      <w:r w:rsidR="00D034C2" w:rsidRPr="00D034C2">
        <w:rPr>
          <w:rFonts w:ascii="Palatino Linotype" w:hAnsi="Palatino Linotype" w:cs="Arial"/>
          <w:sz w:val="24"/>
          <w:szCs w:val="24"/>
        </w:rPr>
        <w:t xml:space="preserve"> este voto lo señalado por el </w:t>
      </w:r>
      <w:r w:rsidR="00226D56">
        <w:rPr>
          <w:rFonts w:ascii="Palatino Linotype" w:hAnsi="Palatino Linotype" w:cs="Arial"/>
          <w:sz w:val="24"/>
          <w:szCs w:val="24"/>
        </w:rPr>
        <w:t xml:space="preserve">Instituto Nacional de Acceso a la Información (INAI) </w:t>
      </w:r>
      <w:r w:rsidR="00D034C2" w:rsidRPr="00D034C2">
        <w:rPr>
          <w:rFonts w:ascii="Palatino Linotype" w:hAnsi="Palatino Linotype" w:cs="Arial"/>
          <w:sz w:val="24"/>
          <w:szCs w:val="24"/>
        </w:rPr>
        <w:t>en el criterio 1</w:t>
      </w:r>
      <w:r w:rsidR="00226D56">
        <w:rPr>
          <w:rFonts w:ascii="Palatino Linotype" w:hAnsi="Palatino Linotype" w:cs="Arial"/>
          <w:sz w:val="24"/>
          <w:szCs w:val="24"/>
        </w:rPr>
        <w:t>5/17</w:t>
      </w:r>
      <w:r w:rsidR="00D034C2" w:rsidRPr="00D034C2">
        <w:rPr>
          <w:rFonts w:ascii="Palatino Linotype" w:hAnsi="Palatino Linotype" w:cs="Arial"/>
          <w:sz w:val="24"/>
          <w:szCs w:val="24"/>
        </w:rPr>
        <w:t xml:space="preserve"> “</w:t>
      </w:r>
      <w:r w:rsidR="00226D56" w:rsidRPr="00226D56">
        <w:rPr>
          <w:rFonts w:ascii="Palatino Linotype" w:hAnsi="Palatino Linotype" w:cs="Arial"/>
          <w:sz w:val="24"/>
          <w:szCs w:val="24"/>
        </w:rPr>
        <w:t>Fotografía en título o cédula profesional es de acceso público.</w:t>
      </w:r>
      <w:r w:rsidR="00D034C2" w:rsidRPr="00D034C2">
        <w:rPr>
          <w:rFonts w:ascii="Palatino Linotype" w:hAnsi="Palatino Linotype" w:cs="Arial"/>
          <w:sz w:val="24"/>
          <w:szCs w:val="24"/>
        </w:rPr>
        <w:t>” y el 5-09</w:t>
      </w:r>
      <w:r w:rsidR="00226D56">
        <w:rPr>
          <w:rFonts w:ascii="Palatino Linotype" w:hAnsi="Palatino Linotype" w:cs="Arial"/>
          <w:sz w:val="24"/>
          <w:szCs w:val="24"/>
        </w:rPr>
        <w:t xml:space="preserve"> por el entonces Instituto Federal de Acceso a la Información </w:t>
      </w:r>
      <w:r w:rsidR="00226D56">
        <w:rPr>
          <w:rFonts w:ascii="Palatino Linotype" w:hAnsi="Palatino Linotype" w:cs="Arial"/>
          <w:sz w:val="24"/>
          <w:szCs w:val="24"/>
        </w:rPr>
        <w:lastRenderedPageBreak/>
        <w:t>Pública</w:t>
      </w:r>
      <w:r w:rsidR="00D034C2" w:rsidRPr="00D034C2">
        <w:rPr>
          <w:rFonts w:ascii="Palatino Linotype" w:hAnsi="Palatino Linotype" w:cs="Arial"/>
          <w:sz w:val="24"/>
          <w:szCs w:val="24"/>
        </w:rPr>
        <w:t xml:space="preserve"> “Fotografía de servidores públicos es un dato personal confidencial”, el segundo de los cuales reconoce que esto se aplica “salvo en los casos que se detecten circunstancias particulares que ameriten un tratamiento singular del caso en cuestión”.</w:t>
      </w:r>
    </w:p>
    <w:p w:rsidR="00C47046" w:rsidRPr="00C47046" w:rsidRDefault="00C47046" w:rsidP="00C47046">
      <w:pPr>
        <w:pStyle w:val="Prrafodelista"/>
        <w:rPr>
          <w:rFonts w:ascii="Palatino Linotype" w:hAnsi="Palatino Linotype" w:cs="Arial"/>
          <w:sz w:val="24"/>
          <w:szCs w:val="24"/>
        </w:rPr>
      </w:pPr>
    </w:p>
    <w:p w:rsidR="00D034C2" w:rsidRPr="00D034C2" w:rsidRDefault="00D034C2" w:rsidP="00D034C2">
      <w:pPr>
        <w:pStyle w:val="Prrafodelista"/>
        <w:rPr>
          <w:rFonts w:ascii="Palatino Linotype" w:hAnsi="Palatino Linotype"/>
          <w:b/>
          <w:sz w:val="24"/>
          <w:szCs w:val="24"/>
        </w:rPr>
      </w:pPr>
    </w:p>
    <w:p w:rsidR="00D034C2" w:rsidRPr="00D034C2" w:rsidRDefault="00D034C2" w:rsidP="00D034C2">
      <w:pPr>
        <w:pStyle w:val="Prrafodelista"/>
        <w:numPr>
          <w:ilvl w:val="0"/>
          <w:numId w:val="24"/>
        </w:numPr>
        <w:spacing w:after="0" w:line="360" w:lineRule="auto"/>
        <w:jc w:val="both"/>
        <w:rPr>
          <w:rFonts w:ascii="Palatino Linotype" w:hAnsi="Palatino Linotype" w:cs="Arial"/>
          <w:sz w:val="24"/>
          <w:szCs w:val="24"/>
        </w:rPr>
      </w:pPr>
      <w:r w:rsidRPr="00D034C2">
        <w:rPr>
          <w:rFonts w:ascii="Palatino Linotype" w:hAnsi="Palatino Linotype"/>
          <w:b/>
          <w:sz w:val="24"/>
          <w:szCs w:val="24"/>
        </w:rPr>
        <w:t>Restricciones legítimas al derecho a la privacidad.</w:t>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D034C2" w:rsidRPr="00C47046" w:rsidRDefault="00D034C2" w:rsidP="00C47046">
      <w:pPr>
        <w:pStyle w:val="Prrafodelista"/>
        <w:numPr>
          <w:ilvl w:val="0"/>
          <w:numId w:val="3"/>
        </w:numPr>
        <w:spacing w:after="0" w:line="360" w:lineRule="auto"/>
        <w:ind w:left="426" w:hanging="426"/>
        <w:jc w:val="both"/>
        <w:rPr>
          <w:rFonts w:ascii="Palatino Linotype" w:hAnsi="Palatino Linotype" w:cs="Arial"/>
          <w:sz w:val="24"/>
          <w:szCs w:val="24"/>
        </w:rPr>
      </w:pPr>
      <w:r w:rsidRPr="00C47046">
        <w:rPr>
          <w:rFonts w:ascii="Palatino Linotype" w:hAnsi="Palatino Linotype" w:cs="Arial"/>
          <w:sz w:val="24"/>
          <w:szCs w:val="24"/>
        </w:rPr>
        <w:t>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D034C2" w:rsidRPr="00D034C2" w:rsidRDefault="00D034C2" w:rsidP="00C47046">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Para justificar el presente voto, vale la pena acudir a criterios de interpretación constitucional bajo el recurso del intérprete externo, según lo recomienda el Dr. Nestor Pedro Sagüés.</w:t>
      </w:r>
      <w:r w:rsidRPr="00D034C2">
        <w:rPr>
          <w:rFonts w:ascii="Palatino Linotype" w:hAnsi="Palatino Linotype"/>
          <w:sz w:val="24"/>
          <w:szCs w:val="24"/>
          <w:vertAlign w:val="superscript"/>
        </w:rPr>
        <w:footnoteReference w:id="1"/>
      </w:r>
      <w:r w:rsidRPr="00D034C2">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D034C2" w:rsidRPr="00D034C2" w:rsidRDefault="00D034C2" w:rsidP="00C47046">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lastRenderedPageBreak/>
        <w:t>El Tribunal Constitucional Alemán en su sentencia sobre el espionaje acústico masivo, de 3 de marzo de 2004 (BVerfGE 190, 279) señala:</w:t>
      </w:r>
    </w:p>
    <w:p w:rsidR="00D034C2" w:rsidRPr="00D034C2" w:rsidRDefault="00D034C2" w:rsidP="00D034C2">
      <w:pPr>
        <w:spacing w:after="0" w:line="360" w:lineRule="auto"/>
        <w:ind w:left="426" w:right="616" w:hanging="426"/>
        <w:contextualSpacing/>
        <w:jc w:val="both"/>
        <w:rPr>
          <w:rFonts w:ascii="Palatino Linotype" w:hAnsi="Palatino Linotype" w:cs="Arial"/>
          <w:sz w:val="24"/>
          <w:szCs w:val="24"/>
        </w:rPr>
      </w:pPr>
    </w:p>
    <w:p w:rsidR="00D034C2" w:rsidRPr="00D034C2" w:rsidRDefault="00D034C2" w:rsidP="00C47046">
      <w:pPr>
        <w:pStyle w:val="Prrafodelista"/>
        <w:spacing w:after="0" w:line="360" w:lineRule="auto"/>
        <w:ind w:left="567" w:right="1183"/>
        <w:jc w:val="both"/>
        <w:rPr>
          <w:rFonts w:ascii="Palatino Linotype" w:hAnsi="Palatino Linotype" w:cs="Arial"/>
          <w:i/>
          <w:sz w:val="24"/>
          <w:szCs w:val="24"/>
        </w:rPr>
      </w:pPr>
      <w:r w:rsidRPr="00D034C2">
        <w:rPr>
          <w:rFonts w:ascii="Palatino Linotype" w:hAnsi="Palatino Linotype" w:cs="Arial"/>
          <w:i/>
          <w:sz w:val="24"/>
          <w:szCs w:val="24"/>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D034C2">
        <w:rPr>
          <w:rFonts w:ascii="Palatino Linotype" w:hAnsi="Palatino Linotype"/>
          <w:sz w:val="24"/>
          <w:szCs w:val="24"/>
          <w:vertAlign w:val="superscript"/>
        </w:rPr>
        <w:footnoteReference w:id="2"/>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D034C2" w:rsidRDefault="00D034C2" w:rsidP="00C47046">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En el caso de la solicitud de acceso a la información promovida por particular es evidente que las personas que ocupan los cargos en la administración pública no sólo han ingresado al servicio público, sino que además detentan cargos de </w:t>
      </w:r>
      <w:r w:rsidRPr="00D034C2">
        <w:rPr>
          <w:rFonts w:ascii="Palatino Linotype" w:hAnsi="Palatino Linotype" w:cs="Arial"/>
          <w:sz w:val="24"/>
          <w:szCs w:val="24"/>
        </w:rPr>
        <w:lastRenderedPageBreak/>
        <w:t xml:space="preserve">alta responsabilidad; por lo que hace a la circunstancia de la información requerida, el título profesional y en su caso la cédula profesional se rigen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 </w:t>
      </w:r>
    </w:p>
    <w:p w:rsidR="003D5EEE" w:rsidRPr="00D034C2" w:rsidRDefault="003D5EEE" w:rsidP="003D5EEE">
      <w:pPr>
        <w:pStyle w:val="Prrafodelista"/>
        <w:spacing w:after="0" w:line="360" w:lineRule="auto"/>
        <w:ind w:left="426"/>
        <w:jc w:val="both"/>
        <w:rPr>
          <w:rFonts w:ascii="Palatino Linotype" w:hAnsi="Palatino Linotype" w:cs="Arial"/>
          <w:sz w:val="24"/>
          <w:szCs w:val="24"/>
        </w:rPr>
      </w:pPr>
    </w:p>
    <w:p w:rsidR="00D034C2" w:rsidRPr="00D034C2" w:rsidRDefault="00D034C2" w:rsidP="00C47046">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D034C2" w:rsidRPr="00D034C2" w:rsidRDefault="00D034C2" w:rsidP="00D034C2">
      <w:pPr>
        <w:spacing w:after="0" w:line="360" w:lineRule="auto"/>
        <w:ind w:left="426" w:right="616" w:hanging="426"/>
        <w:jc w:val="both"/>
        <w:rPr>
          <w:rFonts w:ascii="Palatino Linotype" w:hAnsi="Palatino Linotype" w:cs="Arial"/>
          <w:sz w:val="24"/>
          <w:szCs w:val="24"/>
        </w:rPr>
      </w:pPr>
    </w:p>
    <w:p w:rsidR="00D034C2" w:rsidRPr="00D034C2" w:rsidRDefault="00D034C2" w:rsidP="00C47046">
      <w:pPr>
        <w:pStyle w:val="Prrafodelista"/>
        <w:tabs>
          <w:tab w:val="left" w:pos="851"/>
        </w:tabs>
        <w:spacing w:after="0" w:line="360" w:lineRule="auto"/>
        <w:ind w:left="567" w:right="1183"/>
        <w:jc w:val="both"/>
        <w:rPr>
          <w:rFonts w:ascii="Palatino Linotype" w:hAnsi="Palatino Linotype" w:cs="Arial"/>
          <w:i/>
          <w:sz w:val="24"/>
          <w:szCs w:val="24"/>
        </w:rPr>
      </w:pPr>
      <w:r w:rsidRPr="00D034C2">
        <w:rPr>
          <w:rFonts w:ascii="Palatino Linotype" w:hAnsi="Palatino Linotype" w:cs="Arial"/>
          <w:i/>
          <w:sz w:val="24"/>
          <w:szCs w:val="24"/>
        </w:rPr>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w:t>
      </w:r>
      <w:r w:rsidRPr="00D034C2">
        <w:rPr>
          <w:rFonts w:ascii="Palatino Linotype" w:hAnsi="Palatino Linotype" w:cs="Arial"/>
          <w:i/>
          <w:sz w:val="24"/>
          <w:szCs w:val="24"/>
        </w:rPr>
        <w:lastRenderedPageBreak/>
        <w:t>52, PG y JH anteriormente citada, ap. 58 y Peck, previamente citada, ap. 61)”.</w:t>
      </w:r>
      <w:r w:rsidRPr="00D034C2">
        <w:rPr>
          <w:rFonts w:ascii="Palatino Linotype" w:hAnsi="Palatino Linotype"/>
          <w:sz w:val="24"/>
          <w:szCs w:val="24"/>
          <w:vertAlign w:val="superscript"/>
        </w:rPr>
        <w:footnoteReference w:id="3"/>
      </w:r>
      <w:r w:rsidRPr="00D034C2">
        <w:rPr>
          <w:rFonts w:ascii="Palatino Linotype" w:hAnsi="Palatino Linotype" w:cs="Arial"/>
          <w:i/>
          <w:sz w:val="24"/>
          <w:szCs w:val="24"/>
        </w:rPr>
        <w:t xml:space="preserve">  </w:t>
      </w:r>
    </w:p>
    <w:p w:rsidR="00D034C2" w:rsidRPr="00D034C2" w:rsidRDefault="00D034C2" w:rsidP="00C47046">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En el presente recurso, puede señalarse que la expedición del título profesional tiene como finalidad el acreditar que una persona determinada cuenta con grado académico respectivo, lo que resulta indispensable para efectos de su práctica profesional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rsidR="00D034C2" w:rsidRPr="00D034C2" w:rsidRDefault="00D034C2" w:rsidP="00D034C2">
      <w:pPr>
        <w:spacing w:after="0" w:line="360" w:lineRule="auto"/>
        <w:ind w:left="426" w:hanging="426"/>
        <w:jc w:val="both"/>
        <w:rPr>
          <w:rFonts w:ascii="Palatino Linotype" w:hAnsi="Palatino Linotype" w:cs="Arial"/>
          <w:sz w:val="24"/>
          <w:szCs w:val="24"/>
        </w:rPr>
      </w:pPr>
    </w:p>
    <w:p w:rsidR="00D034C2" w:rsidRPr="00D034C2" w:rsidRDefault="00D034C2" w:rsidP="00C47046">
      <w:pPr>
        <w:pStyle w:val="Prrafodelista"/>
        <w:numPr>
          <w:ilvl w:val="0"/>
          <w:numId w:val="3"/>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lastRenderedPageBreak/>
        <w:t xml:space="preserve">Es en atención a las consideraciones antes señaladas que el título profesional se integra por un conjunto de elementos cuya concurrencia simultánea permiten identificar clara e indubitablemente que una persona determinada cuenta con título para desempeñar una profesión y que por ello se ha emitido la respectiva patente. Para que </w:t>
      </w:r>
      <w:r w:rsidR="00C47046">
        <w:rPr>
          <w:rFonts w:ascii="Palatino Linotype" w:hAnsi="Palatino Linotype" w:cs="Arial"/>
          <w:sz w:val="24"/>
          <w:szCs w:val="24"/>
        </w:rPr>
        <w:t>l</w:t>
      </w:r>
      <w:r w:rsidR="00A5622E">
        <w:rPr>
          <w:rFonts w:ascii="Palatino Linotype" w:hAnsi="Palatino Linotype" w:cs="Arial"/>
          <w:sz w:val="24"/>
          <w:szCs w:val="24"/>
        </w:rPr>
        <w:t>a</w:t>
      </w:r>
      <w:r w:rsidR="00C47046">
        <w:rPr>
          <w:rFonts w:ascii="Palatino Linotype" w:hAnsi="Palatino Linotype" w:cs="Arial"/>
          <w:sz w:val="24"/>
          <w:szCs w:val="24"/>
        </w:rPr>
        <w:t xml:space="preserve"> particular </w:t>
      </w:r>
      <w:r w:rsidRPr="00D034C2">
        <w:rPr>
          <w:rFonts w:ascii="Palatino Linotype" w:hAnsi="Palatino Linotype" w:cs="Arial"/>
          <w:sz w:val="24"/>
          <w:szCs w:val="24"/>
        </w:rPr>
        <w:t>pueda acceder en plenitud a su derecho de acceso a la información pública, debería de entregársele l</w:t>
      </w:r>
      <w:r w:rsidR="00A5622E">
        <w:rPr>
          <w:rFonts w:ascii="Palatino Linotype" w:hAnsi="Palatino Linotype" w:cs="Arial"/>
          <w:sz w:val="24"/>
          <w:szCs w:val="24"/>
        </w:rPr>
        <w:t>os</w:t>
      </w:r>
      <w:r w:rsidRPr="00D034C2">
        <w:rPr>
          <w:rFonts w:ascii="Palatino Linotype" w:hAnsi="Palatino Linotype" w:cs="Arial"/>
          <w:sz w:val="24"/>
          <w:szCs w:val="24"/>
        </w:rPr>
        <w:t xml:space="preserve"> documento</w:t>
      </w:r>
      <w:r w:rsidR="00A5622E">
        <w:rPr>
          <w:rFonts w:ascii="Palatino Linotype" w:hAnsi="Palatino Linotype" w:cs="Arial"/>
          <w:sz w:val="24"/>
          <w:szCs w:val="24"/>
        </w:rPr>
        <w:t>s</w:t>
      </w:r>
      <w:r w:rsidRPr="00D034C2">
        <w:rPr>
          <w:rFonts w:ascii="Palatino Linotype" w:hAnsi="Palatino Linotype" w:cs="Arial"/>
          <w:sz w:val="24"/>
          <w:szCs w:val="24"/>
        </w:rPr>
        <w:t xml:space="preserve"> </w:t>
      </w:r>
      <w:r w:rsidR="00A5622E">
        <w:rPr>
          <w:rFonts w:ascii="Palatino Linotype" w:hAnsi="Palatino Linotype" w:cs="Arial"/>
          <w:sz w:val="24"/>
          <w:szCs w:val="24"/>
        </w:rPr>
        <w:t>í</w:t>
      </w:r>
      <w:r w:rsidRPr="00D034C2">
        <w:rPr>
          <w:rFonts w:ascii="Palatino Linotype" w:hAnsi="Palatino Linotype" w:cs="Arial"/>
          <w:sz w:val="24"/>
          <w:szCs w:val="24"/>
        </w:rPr>
        <w:t>ntegro</w:t>
      </w:r>
      <w:r w:rsidR="00A5622E">
        <w:rPr>
          <w:rFonts w:ascii="Palatino Linotype" w:hAnsi="Palatino Linotype" w:cs="Arial"/>
          <w:sz w:val="24"/>
          <w:szCs w:val="24"/>
        </w:rPr>
        <w:t>s</w:t>
      </w:r>
      <w:r w:rsidRPr="00D034C2">
        <w:rPr>
          <w:rFonts w:ascii="Palatino Linotype" w:hAnsi="Palatino Linotype" w:cs="Arial"/>
          <w:sz w:val="24"/>
          <w:szCs w:val="24"/>
        </w:rPr>
        <w:t xml:space="preserve">,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 </w:t>
      </w:r>
    </w:p>
    <w:p w:rsidR="00C47046" w:rsidRDefault="00C47046" w:rsidP="00D034C2">
      <w:pPr>
        <w:spacing w:line="360" w:lineRule="auto"/>
        <w:rPr>
          <w:rFonts w:ascii="Palatino Linotype" w:hAnsi="Palatino Linotype" w:cs="Arial"/>
          <w:sz w:val="24"/>
          <w:szCs w:val="24"/>
        </w:rPr>
      </w:pPr>
    </w:p>
    <w:p w:rsidR="003D5EEE" w:rsidRDefault="003D5EEE" w:rsidP="00D034C2">
      <w:pPr>
        <w:spacing w:line="360" w:lineRule="auto"/>
        <w:rPr>
          <w:rFonts w:ascii="Palatino Linotype" w:hAnsi="Palatino Linotype" w:cs="Arial"/>
          <w:sz w:val="24"/>
          <w:szCs w:val="24"/>
        </w:rPr>
      </w:pPr>
    </w:p>
    <w:p w:rsidR="00B1285D" w:rsidRDefault="00B1285D" w:rsidP="001A4457">
      <w:pPr>
        <w:spacing w:after="0" w:line="240" w:lineRule="auto"/>
        <w:jc w:val="center"/>
        <w:rPr>
          <w:rFonts w:ascii="Palatino Linotype" w:eastAsia="Calibri" w:hAnsi="Palatino Linotype" w:cs="Arial"/>
          <w:b/>
          <w:sz w:val="24"/>
          <w:szCs w:val="24"/>
        </w:rPr>
      </w:pPr>
    </w:p>
    <w:p w:rsidR="00D034C2" w:rsidRPr="00D034C2" w:rsidRDefault="00D034C2" w:rsidP="001A4457">
      <w:pPr>
        <w:spacing w:after="0" w:line="240" w:lineRule="auto"/>
        <w:jc w:val="center"/>
        <w:rPr>
          <w:rFonts w:ascii="Palatino Linotype" w:eastAsia="Calibri" w:hAnsi="Palatino Linotype" w:cs="Arial"/>
          <w:b/>
          <w:sz w:val="24"/>
          <w:szCs w:val="24"/>
        </w:rPr>
      </w:pPr>
      <w:r w:rsidRPr="00D034C2">
        <w:rPr>
          <w:rFonts w:ascii="Palatino Linotype" w:eastAsia="Calibri" w:hAnsi="Palatino Linotype" w:cs="Arial"/>
          <w:b/>
          <w:sz w:val="24"/>
          <w:szCs w:val="24"/>
        </w:rPr>
        <w:t>JOSÉ GUADALUPE LUNA HERNÁNDEZ</w:t>
      </w:r>
    </w:p>
    <w:p w:rsidR="00D034C2" w:rsidRDefault="00D034C2" w:rsidP="001A4457">
      <w:pPr>
        <w:spacing w:after="0" w:line="240" w:lineRule="auto"/>
        <w:jc w:val="center"/>
        <w:rPr>
          <w:rFonts w:ascii="Palatino Linotype" w:eastAsia="Calibri" w:hAnsi="Palatino Linotype" w:cs="Arial"/>
          <w:b/>
          <w:sz w:val="24"/>
          <w:szCs w:val="24"/>
        </w:rPr>
      </w:pPr>
      <w:r w:rsidRPr="00D034C2">
        <w:rPr>
          <w:rFonts w:ascii="Palatino Linotype" w:eastAsia="Calibri" w:hAnsi="Palatino Linotype" w:cs="Arial"/>
          <w:b/>
          <w:sz w:val="24"/>
          <w:szCs w:val="24"/>
        </w:rPr>
        <w:t>COMISIONADO</w:t>
      </w:r>
    </w:p>
    <w:p w:rsidR="00C8504D" w:rsidRPr="00D034C2" w:rsidRDefault="00C47046" w:rsidP="001A4457">
      <w:pPr>
        <w:spacing w:after="0" w:line="240" w:lineRule="auto"/>
        <w:jc w:val="center"/>
        <w:rPr>
          <w:rFonts w:ascii="Palatino Linotype" w:hAnsi="Palatino Linotype"/>
          <w:b/>
          <w:sz w:val="24"/>
          <w:szCs w:val="24"/>
        </w:rPr>
      </w:pPr>
      <w:r>
        <w:rPr>
          <w:rFonts w:ascii="Palatino Linotype" w:eastAsia="Calibri" w:hAnsi="Palatino Linotype" w:cs="Arial"/>
          <w:b/>
          <w:sz w:val="24"/>
          <w:szCs w:val="24"/>
        </w:rPr>
        <w:t>(Rúbrica)</w:t>
      </w:r>
    </w:p>
    <w:p w:rsidR="00B1285D" w:rsidRDefault="00B1285D" w:rsidP="00C8504D">
      <w:pPr>
        <w:spacing w:line="360" w:lineRule="auto"/>
        <w:ind w:left="426" w:hanging="426"/>
        <w:rPr>
          <w:rFonts w:ascii="Palatino Linotype" w:hAnsi="Palatino Linotype"/>
          <w:b/>
          <w:sz w:val="24"/>
          <w:szCs w:val="24"/>
        </w:rPr>
      </w:pPr>
    </w:p>
    <w:p w:rsidR="00B1285D" w:rsidRDefault="00B1285D" w:rsidP="00C8504D">
      <w:pPr>
        <w:spacing w:line="360" w:lineRule="auto"/>
        <w:ind w:left="426" w:hanging="426"/>
        <w:rPr>
          <w:rFonts w:ascii="Palatino Linotype" w:hAnsi="Palatino Linotype"/>
          <w:b/>
          <w:sz w:val="24"/>
          <w:szCs w:val="24"/>
        </w:rPr>
      </w:pPr>
    </w:p>
    <w:p w:rsidR="00D33AF9" w:rsidRPr="00D034C2" w:rsidRDefault="00C8504D" w:rsidP="00C8504D">
      <w:pPr>
        <w:spacing w:line="360" w:lineRule="auto"/>
        <w:ind w:left="426" w:hanging="426"/>
        <w:rPr>
          <w:rFonts w:ascii="Palatino Linotype" w:hAnsi="Palatino Linotype"/>
          <w:b/>
          <w:sz w:val="24"/>
          <w:szCs w:val="24"/>
        </w:rPr>
      </w:pPr>
      <w:r w:rsidRPr="00D034C2">
        <w:rPr>
          <w:rFonts w:ascii="Palatino Linotype" w:hAnsi="Palatino Linotype"/>
          <w:b/>
          <w:sz w:val="24"/>
          <w:szCs w:val="24"/>
        </w:rPr>
        <w:t>JGLH/</w:t>
      </w:r>
      <w:r w:rsidR="00A5622E">
        <w:rPr>
          <w:rFonts w:ascii="Palatino Linotype" w:hAnsi="Palatino Linotype"/>
          <w:b/>
          <w:sz w:val="24"/>
          <w:szCs w:val="24"/>
        </w:rPr>
        <w:t>JAAV</w:t>
      </w:r>
      <w:r w:rsidRPr="00D034C2">
        <w:rPr>
          <w:rFonts w:ascii="Palatino Linotype" w:hAnsi="Palatino Linotype"/>
          <w:b/>
          <w:sz w:val="24"/>
          <w:szCs w:val="24"/>
        </w:rPr>
        <w:t>.</w:t>
      </w:r>
    </w:p>
    <w:sectPr w:rsidR="00D33AF9" w:rsidRPr="00D034C2"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1EA" w:rsidRDefault="002931EA" w:rsidP="00E706DA">
      <w:pPr>
        <w:spacing w:after="0" w:line="240" w:lineRule="auto"/>
      </w:pPr>
      <w:r>
        <w:separator/>
      </w:r>
    </w:p>
  </w:endnote>
  <w:endnote w:type="continuationSeparator" w:id="0">
    <w:p w:rsidR="002931EA" w:rsidRDefault="002931E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931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AA3075">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AA3075">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2931E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931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1EA" w:rsidRDefault="002931EA" w:rsidP="00E706DA">
      <w:pPr>
        <w:spacing w:after="0" w:line="240" w:lineRule="auto"/>
      </w:pPr>
      <w:r>
        <w:separator/>
      </w:r>
    </w:p>
  </w:footnote>
  <w:footnote w:type="continuationSeparator" w:id="0">
    <w:p w:rsidR="002931EA" w:rsidRDefault="002931EA" w:rsidP="00E706DA">
      <w:pPr>
        <w:spacing w:after="0" w:line="240" w:lineRule="auto"/>
      </w:pPr>
      <w:r>
        <w:continuationSeparator/>
      </w:r>
    </w:p>
  </w:footnote>
  <w:footnote w:id="1">
    <w:p w:rsidR="00D034C2" w:rsidRPr="00D84239" w:rsidRDefault="00D034C2" w:rsidP="00D034C2">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rsidR="00D034C2" w:rsidRPr="00D84239" w:rsidRDefault="00D034C2" w:rsidP="00D034C2">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rsidR="00D034C2" w:rsidRPr="00D84239" w:rsidRDefault="00D034C2" w:rsidP="00D034C2">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931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931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931E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931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5813181"/>
    <w:multiLevelType w:val="hybridMultilevel"/>
    <w:tmpl w:val="AC7A49E8"/>
    <w:lvl w:ilvl="0" w:tplc="17209766">
      <w:start w:val="1"/>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352EF0"/>
    <w:multiLevelType w:val="hybridMultilevel"/>
    <w:tmpl w:val="B3DCB214"/>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BB299E"/>
    <w:multiLevelType w:val="hybridMultilevel"/>
    <w:tmpl w:val="8E2CB1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026695"/>
    <w:multiLevelType w:val="hybridMultilevel"/>
    <w:tmpl w:val="CF36FA5C"/>
    <w:lvl w:ilvl="0" w:tplc="08F62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D92142"/>
    <w:multiLevelType w:val="hybridMultilevel"/>
    <w:tmpl w:val="490CBD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EB1B44"/>
    <w:multiLevelType w:val="hybridMultilevel"/>
    <w:tmpl w:val="6D3C1306"/>
    <w:lvl w:ilvl="0" w:tplc="1F2AD21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773E7E"/>
    <w:multiLevelType w:val="hybridMultilevel"/>
    <w:tmpl w:val="11984494"/>
    <w:lvl w:ilvl="0" w:tplc="EA0C5B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9"/>
  </w:num>
  <w:num w:numId="5">
    <w:abstractNumId w:val="11"/>
  </w:num>
  <w:num w:numId="6">
    <w:abstractNumId w:val="14"/>
  </w:num>
  <w:num w:numId="7">
    <w:abstractNumId w:val="21"/>
  </w:num>
  <w:num w:numId="8">
    <w:abstractNumId w:val="20"/>
  </w:num>
  <w:num w:numId="9">
    <w:abstractNumId w:val="23"/>
  </w:num>
  <w:num w:numId="10">
    <w:abstractNumId w:val="1"/>
  </w:num>
  <w:num w:numId="11">
    <w:abstractNumId w:val="22"/>
  </w:num>
  <w:num w:numId="12">
    <w:abstractNumId w:val="8"/>
  </w:num>
  <w:num w:numId="13">
    <w:abstractNumId w:val="12"/>
  </w:num>
  <w:num w:numId="14">
    <w:abstractNumId w:val="17"/>
  </w:num>
  <w:num w:numId="15">
    <w:abstractNumId w:val="19"/>
  </w:num>
  <w:num w:numId="16">
    <w:abstractNumId w:val="10"/>
  </w:num>
  <w:num w:numId="17">
    <w:abstractNumId w:val="3"/>
  </w:num>
  <w:num w:numId="18">
    <w:abstractNumId w:val="4"/>
  </w:num>
  <w:num w:numId="19">
    <w:abstractNumId w:val="2"/>
  </w:num>
  <w:num w:numId="20">
    <w:abstractNumId w:val="5"/>
  </w:num>
  <w:num w:numId="21">
    <w:abstractNumId w:val="7"/>
  </w:num>
  <w:num w:numId="22">
    <w:abstractNumId w:val="18"/>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3F0D"/>
    <w:rsid w:val="000951B4"/>
    <w:rsid w:val="00096FC3"/>
    <w:rsid w:val="000A3201"/>
    <w:rsid w:val="000A77B5"/>
    <w:rsid w:val="000A7B66"/>
    <w:rsid w:val="000F6CBB"/>
    <w:rsid w:val="00122625"/>
    <w:rsid w:val="00172DA5"/>
    <w:rsid w:val="00186A26"/>
    <w:rsid w:val="00194B6A"/>
    <w:rsid w:val="001A4457"/>
    <w:rsid w:val="001A6981"/>
    <w:rsid w:val="001D3F34"/>
    <w:rsid w:val="002036ED"/>
    <w:rsid w:val="00211466"/>
    <w:rsid w:val="00217881"/>
    <w:rsid w:val="00225026"/>
    <w:rsid w:val="00226D56"/>
    <w:rsid w:val="00230047"/>
    <w:rsid w:val="00242E68"/>
    <w:rsid w:val="00260D6C"/>
    <w:rsid w:val="002620E9"/>
    <w:rsid w:val="00281310"/>
    <w:rsid w:val="002931EA"/>
    <w:rsid w:val="002A3AD5"/>
    <w:rsid w:val="002C1F75"/>
    <w:rsid w:val="00346DBD"/>
    <w:rsid w:val="00367E00"/>
    <w:rsid w:val="003705BB"/>
    <w:rsid w:val="003747A5"/>
    <w:rsid w:val="0039684C"/>
    <w:rsid w:val="003D5EEE"/>
    <w:rsid w:val="003D7B9E"/>
    <w:rsid w:val="00412952"/>
    <w:rsid w:val="004510DB"/>
    <w:rsid w:val="0046491C"/>
    <w:rsid w:val="0048490F"/>
    <w:rsid w:val="005823DB"/>
    <w:rsid w:val="005A3267"/>
    <w:rsid w:val="00634736"/>
    <w:rsid w:val="00645739"/>
    <w:rsid w:val="00664DC6"/>
    <w:rsid w:val="006728FD"/>
    <w:rsid w:val="0069498B"/>
    <w:rsid w:val="00717C0D"/>
    <w:rsid w:val="0072136B"/>
    <w:rsid w:val="00770016"/>
    <w:rsid w:val="00790E37"/>
    <w:rsid w:val="00814E97"/>
    <w:rsid w:val="008318D2"/>
    <w:rsid w:val="008361CA"/>
    <w:rsid w:val="00850252"/>
    <w:rsid w:val="00856FA1"/>
    <w:rsid w:val="008822B3"/>
    <w:rsid w:val="008B03B6"/>
    <w:rsid w:val="008F3E81"/>
    <w:rsid w:val="00900E75"/>
    <w:rsid w:val="00902248"/>
    <w:rsid w:val="009113BD"/>
    <w:rsid w:val="00937D7D"/>
    <w:rsid w:val="0094239C"/>
    <w:rsid w:val="009C4EF6"/>
    <w:rsid w:val="00A5622E"/>
    <w:rsid w:val="00A63717"/>
    <w:rsid w:val="00AA3075"/>
    <w:rsid w:val="00AA49F3"/>
    <w:rsid w:val="00AB023D"/>
    <w:rsid w:val="00AB126B"/>
    <w:rsid w:val="00AC381E"/>
    <w:rsid w:val="00AE047F"/>
    <w:rsid w:val="00B120CA"/>
    <w:rsid w:val="00B1285D"/>
    <w:rsid w:val="00B8416C"/>
    <w:rsid w:val="00BC7B0C"/>
    <w:rsid w:val="00BF3534"/>
    <w:rsid w:val="00C47046"/>
    <w:rsid w:val="00C8504D"/>
    <w:rsid w:val="00CE0823"/>
    <w:rsid w:val="00D034C2"/>
    <w:rsid w:val="00D172C2"/>
    <w:rsid w:val="00D33AF9"/>
    <w:rsid w:val="00D363F7"/>
    <w:rsid w:val="00D72985"/>
    <w:rsid w:val="00D7508B"/>
    <w:rsid w:val="00DF6F7E"/>
    <w:rsid w:val="00E34F08"/>
    <w:rsid w:val="00E61AB8"/>
    <w:rsid w:val="00E630FF"/>
    <w:rsid w:val="00E706DA"/>
    <w:rsid w:val="00E72B3F"/>
    <w:rsid w:val="00E83E93"/>
    <w:rsid w:val="00E94FBF"/>
    <w:rsid w:val="00EF0C2D"/>
    <w:rsid w:val="00F46E78"/>
    <w:rsid w:val="00F5520F"/>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04D"/>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50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850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rsid w:val="00C8504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8504D"/>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C8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C8504D"/>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C8504D"/>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C850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2">
    <w:name w:val="toc 2"/>
    <w:basedOn w:val="Normal"/>
    <w:next w:val="Normal"/>
    <w:autoRedefine/>
    <w:uiPriority w:val="39"/>
    <w:unhideWhenUsed/>
    <w:rsid w:val="00C8504D"/>
    <w:pPr>
      <w:spacing w:after="100"/>
      <w:ind w:left="220"/>
    </w:pPr>
  </w:style>
  <w:style w:type="paragraph" w:styleId="TDC3">
    <w:name w:val="toc 3"/>
    <w:basedOn w:val="Normal"/>
    <w:next w:val="Normal"/>
    <w:autoRedefine/>
    <w:uiPriority w:val="39"/>
    <w:unhideWhenUsed/>
    <w:rsid w:val="00C850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3228</Words>
  <Characters>17759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2017-06-22T18:15:00Z</cp:lastPrinted>
  <dcterms:created xsi:type="dcterms:W3CDTF">2018-11-06T19:25:00Z</dcterms:created>
  <dcterms:modified xsi:type="dcterms:W3CDTF">2018-11-06T19:25:00Z</dcterms:modified>
</cp:coreProperties>
</file>